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D781" w14:textId="77777777" w:rsidR="00703480" w:rsidRPr="003B2081" w:rsidRDefault="00703480">
      <w:pPr>
        <w:widowControl w:val="0"/>
        <w:spacing w:before="15" w:after="0" w:line="260" w:lineRule="exact"/>
        <w:rPr>
          <w:rFonts w:ascii="Garamond" w:hAnsi="Garamond" w:cs="Times New Roman"/>
          <w:color w:val="FF0000"/>
          <w:sz w:val="24"/>
          <w:szCs w:val="24"/>
        </w:rPr>
      </w:pPr>
    </w:p>
    <w:p w14:paraId="40D04E7F" w14:textId="77777777" w:rsidR="00703480" w:rsidRPr="003B2081" w:rsidRDefault="00D80CDE">
      <w:pPr>
        <w:widowControl w:val="0"/>
        <w:spacing w:after="0" w:line="240" w:lineRule="auto"/>
        <w:ind w:left="5245" w:right="159" w:firstLine="419"/>
        <w:rPr>
          <w:rFonts w:ascii="Garamond" w:hAnsi="Garamond" w:cs="Times New Roman"/>
          <w:sz w:val="24"/>
          <w:szCs w:val="24"/>
        </w:rPr>
      </w:pPr>
      <w:r w:rsidRPr="003B2081">
        <w:rPr>
          <w:rFonts w:ascii="Garamond" w:hAnsi="Garamond" w:cs="Times New Roman"/>
          <w:spacing w:val="3"/>
          <w:sz w:val="24"/>
          <w:szCs w:val="24"/>
        </w:rPr>
        <w:t>S</w:t>
      </w:r>
      <w:r w:rsidRPr="003B2081">
        <w:rPr>
          <w:rFonts w:ascii="Garamond" w:hAnsi="Garamond" w:cs="Times New Roman"/>
          <w:spacing w:val="-7"/>
          <w:sz w:val="24"/>
          <w:szCs w:val="24"/>
        </w:rPr>
        <w:t>y</w:t>
      </w:r>
      <w:r w:rsidRPr="003B2081">
        <w:rPr>
          <w:rFonts w:ascii="Garamond" w:hAnsi="Garamond" w:cs="Times New Roman"/>
          <w:spacing w:val="3"/>
          <w:sz w:val="24"/>
          <w:szCs w:val="24"/>
        </w:rPr>
        <w:t>l</w:t>
      </w:r>
      <w:r w:rsidRPr="003B2081">
        <w:rPr>
          <w:rFonts w:ascii="Garamond" w:hAnsi="Garamond" w:cs="Times New Roman"/>
          <w:spacing w:val="-1"/>
          <w:sz w:val="24"/>
          <w:szCs w:val="24"/>
        </w:rPr>
        <w:t>a</w:t>
      </w:r>
      <w:r w:rsidRPr="003B2081">
        <w:rPr>
          <w:rFonts w:ascii="Garamond" w:hAnsi="Garamond" w:cs="Times New Roman"/>
          <w:sz w:val="24"/>
          <w:szCs w:val="24"/>
        </w:rPr>
        <w:t>bus</w:t>
      </w:r>
      <w:r w:rsidRPr="003B2081">
        <w:rPr>
          <w:rFonts w:ascii="Garamond" w:hAnsi="Garamond" w:cs="Times New Roman"/>
          <w:spacing w:val="1"/>
          <w:sz w:val="24"/>
          <w:szCs w:val="24"/>
        </w:rPr>
        <w:t xml:space="preserve"> </w:t>
      </w:r>
      <w:r w:rsidRPr="003B2081">
        <w:rPr>
          <w:rFonts w:ascii="Garamond" w:hAnsi="Garamond" w:cs="Times New Roman"/>
          <w:sz w:val="24"/>
          <w:szCs w:val="24"/>
        </w:rPr>
        <w:t>p</w:t>
      </w:r>
      <w:r w:rsidRPr="003B2081">
        <w:rPr>
          <w:rFonts w:ascii="Garamond" w:hAnsi="Garamond" w:cs="Times New Roman"/>
          <w:spacing w:val="-1"/>
          <w:sz w:val="24"/>
          <w:szCs w:val="24"/>
        </w:rPr>
        <w:t>r</w:t>
      </w:r>
      <w:r w:rsidRPr="003B2081">
        <w:rPr>
          <w:rFonts w:ascii="Garamond" w:hAnsi="Garamond" w:cs="Times New Roman"/>
          <w:spacing w:val="1"/>
          <w:sz w:val="24"/>
          <w:szCs w:val="24"/>
        </w:rPr>
        <w:t>z</w:t>
      </w:r>
      <w:r w:rsidRPr="003B2081">
        <w:rPr>
          <w:rFonts w:ascii="Garamond" w:hAnsi="Garamond" w:cs="Times New Roman"/>
          <w:spacing w:val="-1"/>
          <w:sz w:val="24"/>
          <w:szCs w:val="24"/>
        </w:rPr>
        <w:t>e</w:t>
      </w:r>
      <w:r w:rsidRPr="003B2081">
        <w:rPr>
          <w:rFonts w:ascii="Garamond" w:hAnsi="Garamond" w:cs="Times New Roman"/>
          <w:sz w:val="24"/>
          <w:szCs w:val="24"/>
        </w:rPr>
        <w:t>dm</w:t>
      </w:r>
      <w:r w:rsidRPr="003B2081">
        <w:rPr>
          <w:rFonts w:ascii="Garamond" w:hAnsi="Garamond" w:cs="Times New Roman"/>
          <w:spacing w:val="1"/>
          <w:sz w:val="24"/>
          <w:szCs w:val="24"/>
        </w:rPr>
        <w:t>i</w:t>
      </w:r>
      <w:r w:rsidRPr="003B2081">
        <w:rPr>
          <w:rFonts w:ascii="Garamond" w:hAnsi="Garamond" w:cs="Times New Roman"/>
          <w:sz w:val="24"/>
          <w:szCs w:val="24"/>
        </w:rPr>
        <w:t xml:space="preserve">otu w Szkole Doktorskiej </w:t>
      </w:r>
    </w:p>
    <w:p w14:paraId="126047CA" w14:textId="77777777" w:rsidR="00703480" w:rsidRPr="003B2081" w:rsidRDefault="00D80CDE">
      <w:pPr>
        <w:widowControl w:val="0"/>
        <w:spacing w:after="0" w:line="240" w:lineRule="auto"/>
        <w:ind w:left="5245" w:right="159" w:firstLine="419"/>
        <w:rPr>
          <w:rFonts w:ascii="Garamond" w:hAnsi="Garamond" w:cs="Times New Roman"/>
          <w:sz w:val="24"/>
          <w:szCs w:val="24"/>
        </w:rPr>
      </w:pPr>
      <w:r w:rsidRPr="003B2081">
        <w:rPr>
          <w:rFonts w:ascii="Garamond" w:hAnsi="Garamond" w:cs="Times New Roman"/>
          <w:sz w:val="24"/>
          <w:szCs w:val="24"/>
        </w:rPr>
        <w:t xml:space="preserve">Nauk Medycznych i Nauk o Zdrowiu </w:t>
      </w:r>
    </w:p>
    <w:p w14:paraId="12AEC835" w14:textId="77777777" w:rsidR="00703480" w:rsidRPr="003B2081" w:rsidRDefault="00D80CDE">
      <w:pPr>
        <w:widowControl w:val="0"/>
        <w:spacing w:after="0" w:line="240" w:lineRule="auto"/>
        <w:ind w:left="4956" w:right="159" w:firstLine="708"/>
        <w:rPr>
          <w:rFonts w:ascii="Garamond" w:hAnsi="Garamond" w:cs="Times New Roman"/>
          <w:sz w:val="24"/>
          <w:szCs w:val="24"/>
        </w:rPr>
      </w:pPr>
      <w:r w:rsidRPr="003B2081">
        <w:rPr>
          <w:rFonts w:ascii="Garamond" w:hAnsi="Garamond" w:cs="Times New Roman"/>
          <w:sz w:val="24"/>
          <w:szCs w:val="24"/>
        </w:rPr>
        <w:t>dotyczy: cyklu kształcenia od 2019/2020</w:t>
      </w:r>
    </w:p>
    <w:p w14:paraId="56435917" w14:textId="77777777" w:rsidR="00703480" w:rsidRPr="003B2081" w:rsidRDefault="00703480">
      <w:pPr>
        <w:widowControl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9971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5590"/>
      </w:tblGrid>
      <w:tr w:rsidR="00703480" w:rsidRPr="003B2081" w14:paraId="63B5BFFD" w14:textId="77777777" w:rsidTr="0045710E">
        <w:trPr>
          <w:trHeight w:hRule="exact" w:val="60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DBE44" w14:textId="77777777" w:rsidR="00703480" w:rsidRPr="003B2081" w:rsidRDefault="00D80CD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wa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1AA8" w14:textId="77777777" w:rsidR="00703480" w:rsidRPr="003B2081" w:rsidRDefault="00D80CDE" w:rsidP="003B2081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Leki biologiczne i </w:t>
            </w:r>
            <w:proofErr w:type="spellStart"/>
            <w:r w:rsidRPr="003B208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biopodobne</w:t>
            </w:r>
            <w:proofErr w:type="spellEnd"/>
            <w:r w:rsidRPr="003B2081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. Leki generyczne. </w:t>
            </w:r>
          </w:p>
          <w:p w14:paraId="3BC084DC" w14:textId="77777777" w:rsidR="00703480" w:rsidRPr="003B2081" w:rsidRDefault="00703480" w:rsidP="003B2081">
            <w:pPr>
              <w:widowControl w:val="0"/>
              <w:spacing w:after="0" w:line="240" w:lineRule="auto"/>
              <w:ind w:left="51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03480" w:rsidRPr="003B2081" w14:paraId="0DCB707D" w14:textId="77777777" w:rsidTr="0045710E">
        <w:trPr>
          <w:trHeight w:hRule="exact" w:val="6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34578" w14:textId="77777777" w:rsidR="00703480" w:rsidRPr="003B2081" w:rsidRDefault="00D80CDE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wa jednostki pro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2DCF067" w14:textId="77777777" w:rsidR="00703480" w:rsidRPr="003B2081" w:rsidRDefault="00D80CDE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50CB" w14:textId="77777777" w:rsidR="00703480" w:rsidRPr="003B2081" w:rsidRDefault="00D80CDE" w:rsidP="003B2081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03480" w:rsidRPr="003B2081" w14:paraId="5560F6A5" w14:textId="77777777" w:rsidTr="0045710E">
        <w:trPr>
          <w:trHeight w:hRule="exact" w:val="37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735D0" w14:textId="77777777" w:rsidR="00703480" w:rsidRPr="003B2081" w:rsidRDefault="00D80CD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3B208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k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5490" w14:textId="77777777" w:rsidR="00703480" w:rsidRPr="003B2081" w:rsidRDefault="00D80CDE" w:rsidP="003B2081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polski</w:t>
            </w:r>
          </w:p>
        </w:tc>
      </w:tr>
      <w:tr w:rsidR="00703480" w:rsidRPr="003B2081" w14:paraId="6E483A86" w14:textId="77777777" w:rsidTr="0045710E">
        <w:trPr>
          <w:trHeight w:hRule="exact" w:val="37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30C16" w14:textId="77777777" w:rsidR="00703480" w:rsidRPr="003B2081" w:rsidRDefault="00D80CD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49EF" w14:textId="77777777" w:rsidR="00703480" w:rsidRPr="003B2081" w:rsidRDefault="00D80CDE" w:rsidP="003B2081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03480" w:rsidRPr="003B2081" w14:paraId="022D4732" w14:textId="77777777" w:rsidTr="00AF5C1A">
        <w:trPr>
          <w:trHeight w:val="45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A2BAD" w14:textId="77777777" w:rsidR="00703480" w:rsidRPr="003B2081" w:rsidRDefault="00D80CD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7593" w14:textId="77777777" w:rsidR="00703480" w:rsidRPr="003B2081" w:rsidRDefault="00D80CDE" w:rsidP="003B2081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</w:tc>
      </w:tr>
      <w:tr w:rsidR="00EC491A" w:rsidRPr="003B2081" w14:paraId="5582C501" w14:textId="77777777" w:rsidTr="00AF5C1A">
        <w:trPr>
          <w:trHeight w:val="45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81C87" w14:textId="77777777" w:rsidR="00EC491A" w:rsidRPr="003B2081" w:rsidRDefault="00EC491A" w:rsidP="00EC491A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2B462227" w14:textId="77777777" w:rsidR="00EC491A" w:rsidRPr="003B2081" w:rsidRDefault="00EC491A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D63E0" w14:textId="77777777" w:rsidR="00EC491A" w:rsidRDefault="00EC491A" w:rsidP="00EC491A">
            <w:pPr>
              <w:spacing w:after="0" w:line="240" w:lineRule="auto"/>
              <w:ind w:left="51" w:right="143"/>
              <w:jc w:val="both"/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Celem przedmiotu jest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zapoznanie studentów z pojęciami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biorównoważności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generyczności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biopodobieństwa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leków.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Prównane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zostaną wymogi dla leków generycznych i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biopodobnych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wraz ze zwróceniem uwagi na stan prawny i statystyczne narzędzia służące do oceny podobieństwa leków niskocząsteczkowych i biologicznych.</w:t>
            </w:r>
          </w:p>
          <w:p w14:paraId="3C9905DD" w14:textId="77777777" w:rsidR="00EC491A" w:rsidRPr="003B2081" w:rsidRDefault="00EC491A" w:rsidP="003B2081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45710E" w:rsidRPr="003B2081" w14:paraId="68F740E1" w14:textId="77777777" w:rsidTr="00EC491A">
        <w:trPr>
          <w:trHeight w:val="6755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52308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104D949E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B4B3968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5FE6139C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3B208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188B36CB" w14:textId="77777777" w:rsidR="0045710E" w:rsidRPr="003B2081" w:rsidRDefault="0045710E" w:rsidP="0045710E">
            <w:pPr>
              <w:widowControl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C23A5" w14:textId="77777777" w:rsidR="0045710E" w:rsidRDefault="0045710E" w:rsidP="0045710E">
            <w:pPr>
              <w:widowControl w:val="0"/>
              <w:spacing w:after="0" w:line="240" w:lineRule="auto"/>
              <w:ind w:left="51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W zakresie wiedzy zna i rozumie: </w:t>
            </w:r>
          </w:p>
          <w:p w14:paraId="6AD05591" w14:textId="72F2BB19" w:rsidR="0045710E" w:rsidRDefault="0045710E" w:rsidP="004571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43" w:hanging="309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metodologię badań naukowych obejmującą podstawy teoretyczne oraz zagadnienia ogólne związane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biorównoważności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generyczności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biopodobieństwa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leków W_1; </w:t>
            </w:r>
            <w:r w:rsidR="00AF5C1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P8S_WG</w:t>
            </w:r>
          </w:p>
          <w:p w14:paraId="556F99C7" w14:textId="0CE91801" w:rsidR="0045710E" w:rsidRDefault="0045710E" w:rsidP="004571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43" w:hanging="30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ekonomiczne, prawne i etyczne uwarunkowania działalności badawczej oraz jej aspekty związane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 xml:space="preserve">z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biorównoważnością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lekami generycznymi 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  <w:t xml:space="preserve">i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biopodobnymi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W_3</w:t>
            </w:r>
            <w:r w:rsidR="00AF5C1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P8S_WK</w:t>
            </w:r>
          </w:p>
          <w:p w14:paraId="72B95877" w14:textId="77777777" w:rsidR="0045710E" w:rsidRDefault="0045710E" w:rsidP="0045710E">
            <w:pPr>
              <w:widowControl w:val="0"/>
              <w:spacing w:after="0" w:line="240" w:lineRule="auto"/>
              <w:ind w:left="51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W zakresie umiejętności potrafi:</w:t>
            </w:r>
          </w:p>
          <w:p w14:paraId="4B83B335" w14:textId="6F32689B" w:rsidR="0045710E" w:rsidRDefault="0045710E" w:rsidP="004571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43" w:hanging="309"/>
              <w:jc w:val="both"/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określić punkty końcowe i przedmiot badań oraz sformułować hipotezę badawczą i wnioskować na podstawie wyników badań o ostatecznej kwalifikacji leku jako generycznego lub </w:t>
            </w:r>
            <w:proofErr w:type="spellStart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biopodobnego</w:t>
            </w:r>
            <w:proofErr w:type="spellEnd"/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U_11</w:t>
            </w:r>
            <w:r w:rsidR="00AF5C1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P8S_UW</w:t>
            </w:r>
          </w:p>
          <w:p w14:paraId="3AACB9B1" w14:textId="77777777" w:rsidR="0045710E" w:rsidRDefault="0045710E" w:rsidP="0045710E">
            <w:pPr>
              <w:spacing w:after="0" w:line="240" w:lineRule="auto"/>
              <w:ind w:left="51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 jest gotów do:</w:t>
            </w:r>
          </w:p>
          <w:p w14:paraId="0F5C8C60" w14:textId="12E462F8" w:rsidR="0045710E" w:rsidRDefault="0045710E" w:rsidP="0045710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43" w:hanging="309"/>
              <w:jc w:val="both"/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kompleksowej oceny dorobku naukowego </w:t>
            </w:r>
            <w:r w:rsidR="00AF5C1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działalności eksperckiej w ramach dyscypliny naukowej w której przygotowana jest rozprawa doktorska K_1</w:t>
            </w:r>
            <w:r w:rsidR="00AF5C1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P8S_KK</w:t>
            </w:r>
          </w:p>
          <w:p w14:paraId="65758835" w14:textId="56BA0F0E" w:rsidR="0045710E" w:rsidRPr="00AF5C1A" w:rsidRDefault="0045710E" w:rsidP="00AF5C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43" w:hanging="309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uznawania znaczenia wiedzy z innych dyscyplin </w:t>
            </w:r>
            <w:r w:rsidR="00AF5C1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 dziedzin wiedzy (innych niż ta, w której realizuje projekt doktorski) w rozwiązywaniu problemów poznawczych i praktycznych K_8</w:t>
            </w:r>
            <w:r w:rsidR="00AF5C1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; P8S_KR</w:t>
            </w:r>
          </w:p>
        </w:tc>
      </w:tr>
      <w:tr w:rsidR="0045710E" w:rsidRPr="003B2081" w14:paraId="3A51590F" w14:textId="77777777" w:rsidTr="0045710E">
        <w:trPr>
          <w:trHeight w:hRule="exact" w:val="63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D998" w14:textId="77777777" w:rsidR="0045710E" w:rsidRPr="003B2081" w:rsidRDefault="0045710E" w:rsidP="0045710E">
            <w:pPr>
              <w:widowControl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1A287E9A" w14:textId="77777777" w:rsidR="0045710E" w:rsidRPr="003B2081" w:rsidRDefault="0045710E" w:rsidP="0045710E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DA075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45710E" w:rsidRPr="003B2081" w14:paraId="1CE0E799" w14:textId="77777777" w:rsidTr="0045710E">
        <w:trPr>
          <w:trHeight w:hRule="exact" w:val="37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262E6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F236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III - VI</w:t>
            </w:r>
          </w:p>
        </w:tc>
      </w:tr>
      <w:tr w:rsidR="0045710E" w:rsidRPr="003B2081" w14:paraId="708E3AAE" w14:textId="77777777" w:rsidTr="0045710E">
        <w:trPr>
          <w:trHeight w:hRule="exact" w:val="93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944C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3B208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3B208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52431EE5" w14:textId="77777777" w:rsidR="0045710E" w:rsidRPr="003B2081" w:rsidRDefault="0045710E" w:rsidP="0045710E">
            <w:pPr>
              <w:widowControl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B2081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179F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Dr hab. n. farm. Aleksander Mendyk</w:t>
            </w:r>
          </w:p>
          <w:p w14:paraId="02682634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</w:t>
            </w:r>
            <w:proofErr w:type="spellStart"/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n.farm</w:t>
            </w:r>
            <w:proofErr w:type="spellEnd"/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 Gniewomir Latacz</w:t>
            </w:r>
          </w:p>
        </w:tc>
      </w:tr>
      <w:tr w:rsidR="0045710E" w:rsidRPr="003B2081" w14:paraId="606B54AE" w14:textId="77777777" w:rsidTr="0045710E">
        <w:trPr>
          <w:trHeight w:hRule="exact" w:val="1491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2259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3B2081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3B208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B28618F" w14:textId="77777777" w:rsidR="0045710E" w:rsidRPr="003B2081" w:rsidRDefault="0045710E" w:rsidP="0045710E">
            <w:pPr>
              <w:widowControl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B208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 osoba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91C1" w14:textId="77777777" w:rsidR="0045710E" w:rsidRPr="003B2081" w:rsidRDefault="0045710E" w:rsidP="0045710E">
            <w:pPr>
              <w:widowControl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710E" w:rsidRPr="003B2081" w14:paraId="5DB6FAB1" w14:textId="77777777" w:rsidTr="0045710E">
        <w:trPr>
          <w:trHeight w:hRule="exact" w:val="62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8090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lastRenderedPageBreak/>
              <w:t>S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CD69F" w14:textId="77777777" w:rsidR="0045710E" w:rsidRPr="003B2081" w:rsidRDefault="0045710E" w:rsidP="0045710E">
            <w:pPr>
              <w:spacing w:after="0" w:line="100" w:lineRule="atLeast"/>
              <w:ind w:left="51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15 godz.</w:t>
            </w:r>
          </w:p>
          <w:p w14:paraId="24C28873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15 godz.</w:t>
            </w:r>
          </w:p>
          <w:p w14:paraId="55F972D3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45710E" w:rsidRPr="003B2081" w14:paraId="4AD5498E" w14:textId="77777777" w:rsidTr="003C64CE">
        <w:trPr>
          <w:trHeight w:hRule="exact" w:val="52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43AC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027E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45710E" w:rsidRPr="003B2081" w14:paraId="1B9FB1C7" w14:textId="77777777" w:rsidTr="0045710E">
        <w:trPr>
          <w:trHeight w:hRule="exact" w:val="632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A5BF" w14:textId="77777777" w:rsidR="0045710E" w:rsidRPr="003B2081" w:rsidRDefault="0045710E" w:rsidP="0045710E">
            <w:pPr>
              <w:widowControl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36AA966F" w14:textId="77777777" w:rsidR="0045710E" w:rsidRPr="003B2081" w:rsidRDefault="0045710E" w:rsidP="0045710E">
            <w:pPr>
              <w:widowControl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F884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5710E" w:rsidRPr="003B2081" w14:paraId="4CEAF2E5" w14:textId="77777777" w:rsidTr="003C64CE">
        <w:trPr>
          <w:trHeight w:hRule="exact" w:val="106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E041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09F5" w14:textId="77777777" w:rsidR="0045710E" w:rsidRPr="003B2081" w:rsidRDefault="0045710E" w:rsidP="0045710E">
            <w:pPr>
              <w:widowControl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Seminarium: 15 godz.</w:t>
            </w:r>
          </w:p>
          <w:p w14:paraId="6EDDEEDE" w14:textId="77777777" w:rsidR="0045710E" w:rsidRPr="003B2081" w:rsidRDefault="0045710E" w:rsidP="0045710E">
            <w:pPr>
              <w:widowControl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Praca własna (przygotowanie prezentacji): 15 godz.</w:t>
            </w:r>
          </w:p>
          <w:p w14:paraId="5321A605" w14:textId="77777777" w:rsidR="0045710E" w:rsidRPr="003B2081" w:rsidRDefault="0045710E" w:rsidP="0045710E">
            <w:pPr>
              <w:widowControl w:val="0"/>
              <w:spacing w:after="0" w:line="267" w:lineRule="exact"/>
              <w:ind w:left="51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Łącznie: 1 ECTS</w:t>
            </w:r>
          </w:p>
        </w:tc>
      </w:tr>
      <w:tr w:rsidR="0045710E" w:rsidRPr="003B2081" w14:paraId="5A911813" w14:textId="77777777" w:rsidTr="003C64CE">
        <w:trPr>
          <w:trHeight w:hRule="exact" w:val="58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164D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3B2081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3B2081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61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Seminarium, wykład informacyjny, </w:t>
            </w:r>
          </w:p>
          <w:p w14:paraId="19EE0060" w14:textId="77777777" w:rsidR="0045710E" w:rsidRPr="003B2081" w:rsidRDefault="0045710E" w:rsidP="0045710E">
            <w:pPr>
              <w:widowControl w:val="0"/>
              <w:spacing w:after="0" w:line="240" w:lineRule="auto"/>
              <w:ind w:left="5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45710E" w:rsidRPr="003B2081" w14:paraId="632831E4" w14:textId="77777777" w:rsidTr="0045710E">
        <w:trPr>
          <w:trHeight w:hRule="exact" w:val="1104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56965" w14:textId="77777777" w:rsidR="0045710E" w:rsidRPr="003B2081" w:rsidRDefault="0045710E" w:rsidP="0045710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66B90F05" w14:textId="77777777" w:rsidR="0045710E" w:rsidRPr="003B2081" w:rsidRDefault="0045710E" w:rsidP="0045710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64823005" w14:textId="77777777" w:rsidR="0045710E" w:rsidRPr="003B2081" w:rsidRDefault="0045710E" w:rsidP="0045710E">
            <w:pPr>
              <w:widowControl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1DA9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4E73C12C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2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Test wyboru</w:t>
            </w:r>
          </w:p>
          <w:p w14:paraId="49C69AA9" w14:textId="77777777" w:rsidR="0045710E" w:rsidRPr="003B2081" w:rsidRDefault="0045710E" w:rsidP="0045710E">
            <w:pPr>
              <w:pStyle w:val="Akapitzlist"/>
              <w:widowControl w:val="0"/>
              <w:spacing w:after="0" w:line="240" w:lineRule="auto"/>
              <w:ind w:left="83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45710E" w:rsidRPr="003B2081" w14:paraId="1A1D732F" w14:textId="77777777" w:rsidTr="003C64CE">
        <w:trPr>
          <w:trHeight w:hRule="exact" w:val="172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ED245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0BA55DC3" w14:textId="77777777" w:rsidR="0045710E" w:rsidRPr="003B2081" w:rsidRDefault="0045710E" w:rsidP="0045710E">
            <w:pPr>
              <w:widowControl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BA42" w14:textId="77777777" w:rsidR="0045710E" w:rsidRPr="003B2081" w:rsidRDefault="0045710E" w:rsidP="0045710E">
            <w:pPr>
              <w:widowControl w:val="0"/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Zaliczenie z oceną. </w:t>
            </w:r>
          </w:p>
          <w:p w14:paraId="50986D90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Ocena aktywności na zajęciach dokonana przez prowadzącego.</w:t>
            </w:r>
          </w:p>
          <w:p w14:paraId="02B00342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3"/>
              </w:numPr>
              <w:spacing w:after="0" w:line="240" w:lineRule="auto"/>
              <w:ind w:left="477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/>
                <w:sz w:val="24"/>
                <w:szCs w:val="24"/>
              </w:rPr>
              <w:t>Test wyboru</w:t>
            </w:r>
          </w:p>
          <w:p w14:paraId="3579BB91" w14:textId="77777777" w:rsidR="0045710E" w:rsidRPr="003B2081" w:rsidRDefault="0045710E" w:rsidP="0045710E">
            <w:pPr>
              <w:widowControl w:val="0"/>
              <w:spacing w:after="0" w:line="240" w:lineRule="auto"/>
              <w:ind w:left="477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Zastosowanie ma skala ocen określona w Regulaminie studiów doktoranckich.</w:t>
            </w:r>
          </w:p>
        </w:tc>
      </w:tr>
      <w:tr w:rsidR="0045710E" w:rsidRPr="003B2081" w14:paraId="2EFCA4E9" w14:textId="77777777" w:rsidTr="0045710E">
        <w:trPr>
          <w:trHeight w:hRule="exact" w:val="189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8A3D1" w14:textId="77777777" w:rsidR="0045710E" w:rsidRPr="003B2081" w:rsidRDefault="0045710E" w:rsidP="0045710E">
            <w:pPr>
              <w:widowControl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8FA5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Definicja i podstawy prawno-administracyjne wprowadzania na rynek leków generycznych.</w:t>
            </w:r>
          </w:p>
          <w:p w14:paraId="6CC09D8E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Pojęcie </w:t>
            </w:r>
            <w:proofErr w:type="spellStart"/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biorównoważności</w:t>
            </w:r>
            <w:proofErr w:type="spellEnd"/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w ujęciu statystycznym</w:t>
            </w:r>
          </w:p>
          <w:p w14:paraId="34695117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Leki biologiczne i </w:t>
            </w:r>
            <w:proofErr w:type="spellStart"/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biopodobne</w:t>
            </w:r>
            <w:proofErr w:type="spellEnd"/>
          </w:p>
          <w:p w14:paraId="4758A69D" w14:textId="77777777" w:rsidR="0045710E" w:rsidRPr="003B2081" w:rsidRDefault="0045710E" w:rsidP="0045710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77"/>
              <w:jc w:val="both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Różnice w wymaganiach do wprowadzenia na rynek leku generycznego i </w:t>
            </w:r>
            <w:proofErr w:type="spellStart"/>
            <w:r w:rsidRPr="003B2081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biopodobnego</w:t>
            </w:r>
            <w:proofErr w:type="spellEnd"/>
          </w:p>
        </w:tc>
      </w:tr>
      <w:tr w:rsidR="0045710E" w:rsidRPr="003B2081" w14:paraId="2842055A" w14:textId="77777777" w:rsidTr="0045710E">
        <w:trPr>
          <w:trHeight w:hRule="exact" w:val="3903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4A40" w14:textId="77777777" w:rsidR="0045710E" w:rsidRPr="003B2081" w:rsidRDefault="0045710E" w:rsidP="0045710E">
            <w:pPr>
              <w:widowControl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3B2081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3B2081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3B2081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55E0374A" w14:textId="77777777" w:rsidR="0045710E" w:rsidRPr="003B2081" w:rsidRDefault="0045710E" w:rsidP="0045710E">
            <w:pPr>
              <w:widowControl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3B2081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3B2081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3B2081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FB03" w14:textId="77777777" w:rsidR="0045710E" w:rsidRPr="003B2081" w:rsidRDefault="0045710E" w:rsidP="0045710E">
            <w:pPr>
              <w:spacing w:after="0" w:line="100" w:lineRule="atLeast"/>
              <w:ind w:left="51"/>
              <w:rPr>
                <w:rFonts w:ascii="Garamond" w:hAnsi="Garamond" w:cs="Times New Roman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Literatura podstawowa: </w:t>
            </w:r>
          </w:p>
          <w:p w14:paraId="016B4F80" w14:textId="77777777" w:rsidR="0045710E" w:rsidRPr="003B2081" w:rsidRDefault="0045710E" w:rsidP="0045710E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477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Leon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Shargel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(Editor),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Isadore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Kanfer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(Editor) 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Generic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Drug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Product Development: Solid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Oral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Dosage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Forms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>, CRC Press 2005</w:t>
            </w:r>
          </w:p>
          <w:p w14:paraId="0CD597D4" w14:textId="77777777" w:rsidR="0045710E" w:rsidRPr="003B2081" w:rsidRDefault="0045710E" w:rsidP="0045710E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477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Laszlo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Endrenyi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(Editor), Dr. Paul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Declerck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(Editor),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Shein-Chung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Chow (Editor)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Biosimilar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Drug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Product Development (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Drugs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and the Pharmaceutical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Sciences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) 1st Edition , CRC </w:t>
            </w:r>
            <w:proofErr w:type="spellStart"/>
            <w:r w:rsidRPr="003B2081">
              <w:rPr>
                <w:rFonts w:ascii="Garamond" w:hAnsi="Garamond" w:cs="Times New Roman"/>
                <w:sz w:val="24"/>
                <w:szCs w:val="24"/>
              </w:rPr>
              <w:t>press</w:t>
            </w:r>
            <w:proofErr w:type="spellEnd"/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2017</w:t>
            </w:r>
          </w:p>
          <w:p w14:paraId="792E4793" w14:textId="77777777" w:rsidR="0045710E" w:rsidRPr="003B2081" w:rsidRDefault="0045710E" w:rsidP="0045710E">
            <w:pPr>
              <w:pStyle w:val="Akapitzlist"/>
              <w:spacing w:after="0" w:line="100" w:lineRule="atLeast"/>
              <w:ind w:left="477" w:hanging="360"/>
              <w:rPr>
                <w:rFonts w:ascii="Garamond" w:hAnsi="Garamond" w:cs="Times New Roman"/>
                <w:sz w:val="24"/>
                <w:szCs w:val="24"/>
              </w:rPr>
            </w:pPr>
          </w:p>
          <w:p w14:paraId="7F7CDA82" w14:textId="77777777" w:rsidR="0045710E" w:rsidRPr="003B2081" w:rsidRDefault="0045710E" w:rsidP="0045710E">
            <w:pPr>
              <w:pStyle w:val="Akapitzlist"/>
              <w:spacing w:after="0" w:line="100" w:lineRule="atLeast"/>
              <w:ind w:left="477" w:hanging="360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>Literatura uzupełniająca:</w:t>
            </w:r>
          </w:p>
          <w:p w14:paraId="73D79872" w14:textId="77777777" w:rsidR="0045710E" w:rsidRPr="003B2081" w:rsidRDefault="0045710E" w:rsidP="0045710E">
            <w:pPr>
              <w:pStyle w:val="Akapitzlist"/>
              <w:numPr>
                <w:ilvl w:val="0"/>
                <w:numId w:val="6"/>
              </w:numPr>
              <w:tabs>
                <w:tab w:val="left" w:pos="536"/>
              </w:tabs>
              <w:spacing w:after="0" w:line="100" w:lineRule="atLeast"/>
              <w:ind w:left="449" w:hanging="180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ICH </w:t>
            </w:r>
            <w:hyperlink r:id="rId5">
              <w:r w:rsidRPr="003B2081">
                <w:rPr>
                  <w:rStyle w:val="czeinternetowe"/>
                  <w:rFonts w:ascii="Garamond" w:hAnsi="Garamond" w:cs="Times New Roman"/>
                  <w:sz w:val="24"/>
                  <w:szCs w:val="24"/>
                </w:rPr>
                <w:t>https://www.ich.org/home.html</w:t>
              </w:r>
            </w:hyperlink>
          </w:p>
          <w:p w14:paraId="31004AEC" w14:textId="77777777" w:rsidR="0045710E" w:rsidRPr="003B2081" w:rsidRDefault="0045710E" w:rsidP="0045710E">
            <w:pPr>
              <w:pStyle w:val="Akapitzlist"/>
              <w:numPr>
                <w:ilvl w:val="0"/>
                <w:numId w:val="6"/>
              </w:numPr>
              <w:tabs>
                <w:tab w:val="left" w:pos="536"/>
              </w:tabs>
              <w:spacing w:after="0" w:line="100" w:lineRule="atLeast"/>
              <w:ind w:left="449" w:hanging="180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EMA </w:t>
            </w:r>
            <w:hyperlink r:id="rId6">
              <w:r w:rsidRPr="003B2081">
                <w:rPr>
                  <w:rStyle w:val="czeinternetowe"/>
                  <w:rFonts w:ascii="Garamond" w:hAnsi="Garamond" w:cs="Times New Roman"/>
                  <w:sz w:val="24"/>
                  <w:szCs w:val="24"/>
                </w:rPr>
                <w:t>https://www.ema.europa.eu/en</w:t>
              </w:r>
            </w:hyperlink>
          </w:p>
          <w:p w14:paraId="7346FCCC" w14:textId="77777777" w:rsidR="0045710E" w:rsidRPr="003B2081" w:rsidRDefault="0045710E" w:rsidP="0045710E">
            <w:pPr>
              <w:pStyle w:val="Akapitzlist"/>
              <w:numPr>
                <w:ilvl w:val="0"/>
                <w:numId w:val="6"/>
              </w:numPr>
              <w:tabs>
                <w:tab w:val="left" w:pos="536"/>
              </w:tabs>
              <w:spacing w:after="0" w:line="100" w:lineRule="atLeast"/>
              <w:ind w:left="449" w:hanging="180"/>
              <w:rPr>
                <w:rFonts w:ascii="Garamond" w:hAnsi="Garamond"/>
                <w:sz w:val="24"/>
                <w:szCs w:val="24"/>
              </w:rPr>
            </w:pPr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FDA </w:t>
            </w:r>
            <w:hyperlink r:id="rId7">
              <w:r w:rsidRPr="003B2081">
                <w:rPr>
                  <w:rStyle w:val="czeinternetowe"/>
                  <w:rFonts w:ascii="Garamond" w:hAnsi="Garamond" w:cs="Times New Roman"/>
                  <w:sz w:val="24"/>
                  <w:szCs w:val="24"/>
                </w:rPr>
                <w:t>https://www.fda.gov/</w:t>
              </w:r>
            </w:hyperlink>
            <w:r w:rsidRPr="003B2081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055D1FBD" w14:textId="77777777" w:rsidR="0045710E" w:rsidRPr="003B2081" w:rsidRDefault="0045710E" w:rsidP="0045710E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  <w:p w14:paraId="6097526D" w14:textId="77777777" w:rsidR="0045710E" w:rsidRPr="003B2081" w:rsidRDefault="0045710E" w:rsidP="0045710E">
            <w:pPr>
              <w:spacing w:after="0" w:line="100" w:lineRule="atLeas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07D41ACD" w14:textId="77777777" w:rsidR="00703480" w:rsidRPr="003B2081" w:rsidRDefault="00703480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</w:p>
    <w:sectPr w:rsidR="00703480" w:rsidRPr="003B2081">
      <w:pgSz w:w="11920" w:h="16838"/>
      <w:pgMar w:top="426" w:right="920" w:bottom="280" w:left="92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3CF"/>
    <w:multiLevelType w:val="multilevel"/>
    <w:tmpl w:val="5F862A6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</w:lvl>
    <w:lvl w:ilvl="1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>
      <w:start w:val="1"/>
      <w:numFmt w:val="decimal"/>
      <w:lvlText w:val="%8."/>
      <w:lvlJc w:val="left"/>
      <w:pPr>
        <w:tabs>
          <w:tab w:val="num" w:pos="4244"/>
        </w:tabs>
        <w:ind w:left="4244" w:hanging="360"/>
      </w:pPr>
    </w:lvl>
    <w:lvl w:ilvl="8">
      <w:start w:val="1"/>
      <w:numFmt w:val="decimal"/>
      <w:lvlText w:val="%9."/>
      <w:lvlJc w:val="left"/>
      <w:pPr>
        <w:tabs>
          <w:tab w:val="num" w:pos="4604"/>
        </w:tabs>
        <w:ind w:left="4604" w:hanging="360"/>
      </w:pPr>
    </w:lvl>
  </w:abstractNum>
  <w:abstractNum w:abstractNumId="1" w15:restartNumberingAfterBreak="0">
    <w:nsid w:val="0A516C72"/>
    <w:multiLevelType w:val="multilevel"/>
    <w:tmpl w:val="39783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831"/>
    <w:multiLevelType w:val="multilevel"/>
    <w:tmpl w:val="92D6B6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251D32"/>
    <w:multiLevelType w:val="multilevel"/>
    <w:tmpl w:val="57BAF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E52914"/>
    <w:multiLevelType w:val="multilevel"/>
    <w:tmpl w:val="2026B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B5162"/>
    <w:multiLevelType w:val="multilevel"/>
    <w:tmpl w:val="ABB2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5A60"/>
    <w:multiLevelType w:val="multilevel"/>
    <w:tmpl w:val="D8EC6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3D52"/>
    <w:multiLevelType w:val="multilevel"/>
    <w:tmpl w:val="5476A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80"/>
    <w:rsid w:val="003B2081"/>
    <w:rsid w:val="003C64CE"/>
    <w:rsid w:val="0045710E"/>
    <w:rsid w:val="00703480"/>
    <w:rsid w:val="00AF5C1A"/>
    <w:rsid w:val="00B72724"/>
    <w:rsid w:val="00D80CDE"/>
    <w:rsid w:val="00E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EA92"/>
  <w15:docId w15:val="{4DA696DE-5F6D-4333-B38A-28AFC4FD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945048"/>
  </w:style>
  <w:style w:type="character" w:customStyle="1" w:styleId="czeinternetowe">
    <w:name w:val="Łącze internetowe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yrnienie">
    <w:name w:val="Wyróżnienie"/>
    <w:basedOn w:val="Domylnaczcionkaakapitu"/>
    <w:uiPriority w:val="20"/>
    <w:qFormat/>
    <w:rsid w:val="0022669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2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Symbol"/>
      <w:b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25">
    <w:name w:val="ListLabel 25"/>
    <w:qFormat/>
    <w:rPr>
      <w:rFonts w:ascii="Times New Roman" w:hAnsi="Times New Roman" w:cs="Symbol"/>
      <w:b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Droid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Droid Sans Devanagari"/>
    </w:rPr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2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27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272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27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272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a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.europa.eu/en" TargetMode="External"/><Relationship Id="rId5" Type="http://schemas.openxmlformats.org/officeDocument/2006/relationships/hyperlink" Target="https://www.ich.org/ho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542</Words>
  <Characters>3254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Artur1</dc:creator>
  <dc:description/>
  <cp:lastModifiedBy>Hałka Anna</cp:lastModifiedBy>
  <cp:revision>26</cp:revision>
  <cp:lastPrinted>2018-05-15T21:08:00Z</cp:lastPrinted>
  <dcterms:created xsi:type="dcterms:W3CDTF">2019-05-27T10:18:00Z</dcterms:created>
  <dcterms:modified xsi:type="dcterms:W3CDTF">2019-08-06T09:03:00Z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