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BE213" w14:textId="6412F38C" w:rsidR="007D1C96" w:rsidRPr="00CD50F6" w:rsidRDefault="007D1C96" w:rsidP="007D1C9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Documents </w:t>
      </w:r>
      <w:r w:rsidR="005E2A92">
        <w:rPr>
          <w:rFonts w:ascii="Times New Roman" w:hAnsi="Times New Roman"/>
          <w:b/>
          <w:sz w:val="24"/>
        </w:rPr>
        <w:t>to submit</w:t>
      </w:r>
    </w:p>
    <w:p w14:paraId="536CC22D" w14:textId="5863AA78" w:rsidR="007D1C96" w:rsidRDefault="007D1C96" w:rsidP="007D1C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To </w:t>
      </w:r>
      <w:r w:rsidR="00C366E6">
        <w:rPr>
          <w:rFonts w:ascii="Times New Roman" w:hAnsi="Times New Roman"/>
          <w:b/>
          <w:sz w:val="24"/>
        </w:rPr>
        <w:t>enrol</w:t>
      </w:r>
      <w:r>
        <w:rPr>
          <w:rFonts w:ascii="Times New Roman" w:hAnsi="Times New Roman"/>
          <w:b/>
          <w:sz w:val="24"/>
        </w:rPr>
        <w:t>, candidates are required to submit the following documents within the specified period:</w:t>
      </w:r>
    </w:p>
    <w:p w14:paraId="0E6218EF" w14:textId="781CD422" w:rsidR="007D1C96" w:rsidRPr="00007BFD" w:rsidRDefault="007D1C96" w:rsidP="007D1C96">
      <w:pPr>
        <w:pStyle w:val="Tre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enrolment form printed from the IRK system (Online Application System) and signed by the candidate, including in particular </w:t>
      </w:r>
      <w:r w:rsidR="00C366E6">
        <w:rPr>
          <w:rFonts w:ascii="Times New Roman" w:hAnsi="Times New Roman"/>
          <w:color w:val="000000" w:themeColor="text1"/>
          <w:sz w:val="24"/>
        </w:rPr>
        <w:t xml:space="preserve">the </w:t>
      </w:r>
      <w:r>
        <w:rPr>
          <w:rFonts w:ascii="Times New Roman" w:hAnsi="Times New Roman"/>
          <w:color w:val="000000" w:themeColor="text1"/>
          <w:sz w:val="24"/>
        </w:rPr>
        <w:t>consent to personal data processing and confirming the knowledge of the method, scope and purpose of processing</w:t>
      </w:r>
      <w:r>
        <w:rPr>
          <w:rFonts w:asciiTheme="minorHAnsi" w:hAnsiTheme="minorHAnsi"/>
          <w:color w:val="000000" w:themeColor="text1"/>
          <w:sz w:val="24"/>
        </w:rPr>
        <w:t>,</w:t>
      </w:r>
    </w:p>
    <w:p w14:paraId="64634178" w14:textId="77777777" w:rsidR="007D1C96" w:rsidRPr="0009448D" w:rsidRDefault="007D1C96" w:rsidP="007D1C96">
      <w:pPr>
        <w:pStyle w:val="TreA"/>
        <w:spacing w:line="360" w:lineRule="auto"/>
        <w:ind w:left="6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D37EB8" w14:textId="60E48281" w:rsidR="007D1C96" w:rsidRDefault="007D1C96" w:rsidP="007D1C96">
      <w:pPr>
        <w:pStyle w:val="Tre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average of grades certificate</w:t>
      </w:r>
      <w:r w:rsidR="00C366E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from each degree of studies</w:t>
      </w:r>
      <w:r w:rsidR="00C366E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with the grading scale</w:t>
      </w:r>
      <w:r>
        <w:rPr>
          <w:rFonts w:ascii="Times New Roman" w:hAnsi="Times New Roman"/>
          <w:sz w:val="24"/>
        </w:rPr>
        <w:t xml:space="preserve">, meaning a certificate of average grades from Master studies </w:t>
      </w:r>
      <w:r w:rsidR="00C366E6">
        <w:rPr>
          <w:rFonts w:ascii="Times New Roman" w:hAnsi="Times New Roman"/>
          <w:sz w:val="24"/>
        </w:rPr>
        <w:t>following</w:t>
      </w:r>
      <w:r>
        <w:rPr>
          <w:rFonts w:ascii="Times New Roman" w:hAnsi="Times New Roman"/>
          <w:sz w:val="24"/>
        </w:rPr>
        <w:t xml:space="preserve"> the university regulations, issued by the university in which the candidate has completed the studies, and containing information on the grading scale according to which the average was calculated. Two-cycle studies graduates should submit: a certificate containing the average of grades from the studies and the grading scale for the first cycle of studies;</w:t>
      </w:r>
    </w:p>
    <w:p w14:paraId="22B148CA" w14:textId="77777777" w:rsidR="007D1C96" w:rsidRPr="007B7C40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6422F19" w14:textId="11A9D52D" w:rsidR="007D1C96" w:rsidRDefault="007D1C96" w:rsidP="007D1C96">
      <w:pPr>
        <w:pStyle w:val="Akapitzlist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copies of documents uploaded at the time of enrolment to the IRK system</w:t>
      </w:r>
      <w:r>
        <w:rPr>
          <w:rFonts w:ascii="Times New Roman" w:hAnsi="Times New Roman"/>
          <w:sz w:val="24"/>
        </w:rPr>
        <w:t xml:space="preserve"> </w:t>
      </w:r>
    </w:p>
    <w:p w14:paraId="34159106" w14:textId="44786B54"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academic achievements questionnaire (appendix 1) and confirmation of the academic achievements email</w:t>
      </w:r>
      <w:r w:rsidR="00562C1A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from the JU MC Medical Library</w:t>
      </w:r>
    </w:p>
    <w:p w14:paraId="3A695CD6" w14:textId="77777777"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publications in academic journals until 2018 </w:t>
      </w:r>
    </w:p>
    <w:p w14:paraId="771B466B" w14:textId="77777777"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publications in academic journals from 2019 onwards </w:t>
      </w:r>
    </w:p>
    <w:p w14:paraId="6C697E6A" w14:textId="77777777"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monographs</w:t>
      </w:r>
    </w:p>
    <w:p w14:paraId="262398FA" w14:textId="77777777" w:rsidR="007D1C96" w:rsidRDefault="007D1C96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confirmation of participation in academic conferences</w:t>
      </w:r>
    </w:p>
    <w:p w14:paraId="3EB07B06" w14:textId="1717F6BD" w:rsidR="007D1C96" w:rsidRDefault="00562C1A" w:rsidP="007D1C96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confirmation of</w:t>
      </w:r>
      <w:r w:rsidR="007D1C96">
        <w:rPr>
          <w:rFonts w:ascii="Times New Roman" w:hAnsi="Times New Roman"/>
          <w:sz w:val="24"/>
        </w:rPr>
        <w:t xml:space="preserve"> awards for outstanding academic achievements other than those related to participation in conferences or awarded solely for scientific results </w:t>
      </w:r>
    </w:p>
    <w:p w14:paraId="7F38E7D5" w14:textId="66D3D3D2" w:rsidR="00562C1A" w:rsidRDefault="00562C1A" w:rsidP="00562C1A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366E6">
        <w:rPr>
          <w:rFonts w:ascii="Times New Roman" w:hAnsi="Times New Roman"/>
          <w:sz w:val="24"/>
        </w:rPr>
        <w:t>proof</w:t>
      </w:r>
      <w:r w:rsidR="007D1C96">
        <w:rPr>
          <w:rFonts w:ascii="Times New Roman" w:hAnsi="Times New Roman"/>
          <w:sz w:val="24"/>
        </w:rPr>
        <w:t xml:space="preserve"> of patent applications</w:t>
      </w:r>
    </w:p>
    <w:p w14:paraId="405C5677" w14:textId="552FB312" w:rsidR="007D1C96" w:rsidRPr="00562C1A" w:rsidRDefault="00562C1A" w:rsidP="00562C1A">
      <w:pPr>
        <w:pStyle w:val="Akapitzlist"/>
        <w:spacing w:after="240" w:line="360" w:lineRule="auto"/>
        <w:ind w:left="425"/>
        <w:jc w:val="both"/>
        <w:rPr>
          <w:rFonts w:ascii="Times New Roman" w:hAnsi="Times New Roman"/>
          <w:sz w:val="24"/>
        </w:rPr>
      </w:pPr>
      <w:r w:rsidRPr="00562C1A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confirmation of being an academic</w:t>
      </w:r>
      <w:r w:rsidR="007D1C96" w:rsidRPr="00562C1A">
        <w:rPr>
          <w:rFonts w:ascii="Times New Roman" w:hAnsi="Times New Roman"/>
          <w:sz w:val="24"/>
        </w:rPr>
        <w:t xml:space="preserve"> project</w:t>
      </w:r>
      <w:r>
        <w:rPr>
          <w:rFonts w:ascii="Times New Roman" w:hAnsi="Times New Roman"/>
          <w:sz w:val="24"/>
        </w:rPr>
        <w:t xml:space="preserve"> manager</w:t>
      </w:r>
      <w:r w:rsidR="007D1C96" w:rsidRPr="00562C1A">
        <w:rPr>
          <w:rFonts w:ascii="Times New Roman" w:hAnsi="Times New Roman"/>
          <w:sz w:val="24"/>
        </w:rPr>
        <w:t xml:space="preserve"> awarded through a competition  </w:t>
      </w:r>
    </w:p>
    <w:p w14:paraId="316DEA00" w14:textId="77777777" w:rsidR="007D1C96" w:rsidRDefault="007D1C96" w:rsidP="007D1C96">
      <w:pPr>
        <w:pStyle w:val="TreA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copy of the diploma giving entitlement to undertake education at the Doctoral School (available for inspection: o</w:t>
      </w:r>
      <w:r>
        <w:rPr>
          <w:rFonts w:ascii="Times New Roman" w:hAnsi="Times New Roman"/>
          <w:b/>
          <w:color w:val="auto"/>
          <w:sz w:val="24"/>
        </w:rPr>
        <w:t xml:space="preserve">riginal diploma) </w:t>
      </w:r>
    </w:p>
    <w:p w14:paraId="60B6C283" w14:textId="77777777" w:rsidR="007D1C96" w:rsidRPr="002D2902" w:rsidRDefault="007D1C96" w:rsidP="007D1C96">
      <w:pPr>
        <w:pStyle w:val="TreA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available for inspection: ID</w:t>
      </w:r>
      <w:r>
        <w:rPr>
          <w:rFonts w:ascii="Times New Roman" w:hAnsi="Times New Roman"/>
          <w:b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(in the case of foreigners, passport),</w:t>
      </w:r>
    </w:p>
    <w:p w14:paraId="5E51047D" w14:textId="77777777" w:rsidR="007D1C96" w:rsidRDefault="007D1C96" w:rsidP="007D1C96">
      <w:pPr>
        <w:pStyle w:val="TreA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available for inspection: t</w:t>
      </w:r>
      <w:r>
        <w:rPr>
          <w:rFonts w:ascii="Times New Roman" w:hAnsi="Times New Roman"/>
          <w:b/>
          <w:color w:val="auto"/>
          <w:sz w:val="24"/>
        </w:rPr>
        <w:t>he originals of all documents</w:t>
      </w:r>
      <w:r>
        <w:rPr>
          <w:rFonts w:ascii="Times New Roman" w:hAnsi="Times New Roman"/>
          <w:color w:val="auto"/>
          <w:sz w:val="24"/>
        </w:rPr>
        <w:t xml:space="preserve"> uploaded in the IRK system,</w:t>
      </w:r>
    </w:p>
    <w:p w14:paraId="652614A3" w14:textId="6D907790" w:rsidR="007D1C96" w:rsidRPr="00B23067" w:rsidRDefault="007D1C96" w:rsidP="007D1C96">
      <w:pPr>
        <w:pStyle w:val="TreA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</w:rPr>
        <w:lastRenderedPageBreak/>
        <w:t>consent to employment or scientific research</w:t>
      </w:r>
      <w:r>
        <w:rPr>
          <w:rFonts w:ascii="Times New Roman" w:hAnsi="Times New Roman"/>
          <w:color w:val="auto"/>
          <w:sz w:val="24"/>
        </w:rPr>
        <w:t xml:space="preserve"> from the medical centre competent for the research location </w:t>
      </w:r>
      <w:r>
        <w:rPr>
          <w:rFonts w:ascii="Times New Roman" w:hAnsi="Times New Roman"/>
          <w:i/>
          <w:color w:val="auto"/>
          <w:sz w:val="24"/>
        </w:rPr>
        <w:t xml:space="preserve">(you will receive the document at the enrolment and deliver it later) </w:t>
      </w:r>
    </w:p>
    <w:p w14:paraId="00F29A45" w14:textId="258FCE4C" w:rsidR="007D1C96" w:rsidRDefault="00562C1A" w:rsidP="007D1C96">
      <w:pPr>
        <w:pStyle w:val="Tre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</w:rPr>
        <w:t xml:space="preserve">a </w:t>
      </w:r>
      <w:r w:rsidR="007D1C96">
        <w:rPr>
          <w:rFonts w:ascii="Times New Roman" w:hAnsi="Times New Roman"/>
          <w:b/>
          <w:color w:val="auto"/>
          <w:sz w:val="24"/>
        </w:rPr>
        <w:t>copy of the document certifying the current medical licence for</w:t>
      </w:r>
      <w:r w:rsidR="007D1C96">
        <w:rPr>
          <w:rFonts w:ascii="Times New Roman" w:hAnsi="Times New Roman"/>
          <w:color w:val="auto"/>
          <w:sz w:val="24"/>
        </w:rPr>
        <w:t xml:space="preserve"> a doctor, dentist, physiotherapist, nurse and midwife, for projects where PhD student's unassisted performance of medical procedures for patients is required; or a declaration of commitment to complete a post-graduate traineeship and the Final Medical Examination/ Final Medical-Dental Examination by the end of the calendar year in which the recruitment is carried out</w:t>
      </w:r>
      <w:r>
        <w:rPr>
          <w:rFonts w:ascii="Times New Roman" w:hAnsi="Times New Roman"/>
          <w:color w:val="auto"/>
          <w:sz w:val="24"/>
        </w:rPr>
        <w:t>.</w:t>
      </w:r>
    </w:p>
    <w:p w14:paraId="7614EF80" w14:textId="77777777" w:rsidR="007D1C96" w:rsidRPr="005E2A92" w:rsidRDefault="007D1C96" w:rsidP="007D1C96">
      <w:pPr>
        <w:pStyle w:val="TreA"/>
        <w:spacing w:after="240" w:line="360" w:lineRule="auto"/>
        <w:ind w:left="42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</w:pPr>
    </w:p>
    <w:p w14:paraId="1C3508AD" w14:textId="77777777" w:rsidR="007D1C96" w:rsidRPr="005E2A92" w:rsidRDefault="007D1C96" w:rsidP="007D1C96">
      <w:pPr>
        <w:pStyle w:val="TreA"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99A8793" w14:textId="77777777" w:rsidR="007D1C96" w:rsidRPr="00CC49A7" w:rsidRDefault="007D1C96" w:rsidP="007D1C96">
      <w:pPr>
        <w:pStyle w:val="TreA"/>
        <w:keepNext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Higher education diplomas obtained abroad should be: </w:t>
      </w:r>
    </w:p>
    <w:p w14:paraId="784FEB1D" w14:textId="18EA0930" w:rsidR="007D1C96" w:rsidRPr="00CC49A7" w:rsidRDefault="007D1C96" w:rsidP="007D1C96">
      <w:pPr>
        <w:pStyle w:val="Tre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accompanied by an apostille when the issuing country is covered by the Convention abolishing the requirement of legalization of foreign official documents, drawn up in Hague on 5 October 1961 (Journal of Laws 2005 no.112, item 938) or </w:t>
      </w:r>
    </w:p>
    <w:p w14:paraId="2CFBBA23" w14:textId="77777777" w:rsidR="007D1C96" w:rsidRPr="00CC49A7" w:rsidRDefault="007D1C96" w:rsidP="007D1C96">
      <w:pPr>
        <w:pStyle w:val="Tre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subject to verification, in other cases. </w:t>
      </w:r>
    </w:p>
    <w:p w14:paraId="50209B45" w14:textId="77777777" w:rsidR="007D1C96" w:rsidRPr="005E2A92" w:rsidRDefault="007D1C96" w:rsidP="007D1C96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DF175A5" w14:textId="77777777" w:rsidR="007D1C96" w:rsidRPr="005E2A92" w:rsidRDefault="007D1C96" w:rsidP="007D1C96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33AEAAD" w14:textId="77777777" w:rsidR="007D1C96" w:rsidRPr="005E2A92" w:rsidRDefault="007D1C96" w:rsidP="007D1C96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6499703" w14:textId="77777777" w:rsidR="007D1C96" w:rsidRPr="005E2A92" w:rsidRDefault="007D1C96" w:rsidP="007D1C96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50330F5B" w14:textId="77777777" w:rsidR="003B5723" w:rsidRDefault="003B5723"/>
    <w:sectPr w:rsidR="003B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685D"/>
    <w:multiLevelType w:val="hybridMultilevel"/>
    <w:tmpl w:val="FC18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74EC"/>
    <w:multiLevelType w:val="hybridMultilevel"/>
    <w:tmpl w:val="40CE94FA"/>
    <w:lvl w:ilvl="0" w:tplc="E346A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354D"/>
    <w:multiLevelType w:val="hybridMultilevel"/>
    <w:tmpl w:val="F684C430"/>
    <w:lvl w:ilvl="0" w:tplc="C99CE7AA">
      <w:start w:val="2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BC42B35"/>
    <w:multiLevelType w:val="hybridMultilevel"/>
    <w:tmpl w:val="7764D04E"/>
    <w:lvl w:ilvl="0" w:tplc="0C4883D8">
      <w:start w:val="2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6371714"/>
    <w:multiLevelType w:val="hybridMultilevel"/>
    <w:tmpl w:val="BEB26A8A"/>
    <w:lvl w:ilvl="0" w:tplc="2E189702">
      <w:start w:val="2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96"/>
    <w:rsid w:val="003B5723"/>
    <w:rsid w:val="003C2829"/>
    <w:rsid w:val="00562C1A"/>
    <w:rsid w:val="005E2A92"/>
    <w:rsid w:val="007D1C96"/>
    <w:rsid w:val="00C366E6"/>
    <w:rsid w:val="00E042DA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0CE4"/>
  <w15:chartTrackingRefBased/>
  <w15:docId w15:val="{AC63E961-2E24-4F1C-A7C6-566C2074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qFormat/>
    <w:rsid w:val="007D1C9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7D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BB1501-EF19-374F-BC52-AC6C1324DB73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BC1EC-1A74-4DF2-AF98-E57EA052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4523F-333B-4B8F-82F9-D5521F222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860FB-2C0D-4A5C-A4FD-206897322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Barbara Chmielowska</cp:lastModifiedBy>
  <cp:revision>2</cp:revision>
  <dcterms:created xsi:type="dcterms:W3CDTF">2021-04-08T10:02:00Z</dcterms:created>
  <dcterms:modified xsi:type="dcterms:W3CDTF">2021-04-08T10:02:00Z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documentId_6266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