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642B" w14:textId="77777777" w:rsidR="003261F6" w:rsidRDefault="00F13535">
      <w:r>
        <w:t>Social Insurance (ZUS)</w:t>
      </w:r>
    </w:p>
    <w:p w14:paraId="795382FC" w14:textId="77777777" w:rsidR="003261F6" w:rsidRDefault="00F13535">
      <w:r>
        <w:t>Since 2019/2020, PhD students receiving a scholarship have been compulsorily subject to retirement, disability and accident insurance. </w:t>
      </w:r>
    </w:p>
    <w:p w14:paraId="13D4F4B0" w14:textId="77777777" w:rsidR="003261F6" w:rsidRDefault="00F13535">
      <w:r>
        <w:t>Sickness insurance is voluntary.</w:t>
      </w:r>
    </w:p>
    <w:p w14:paraId="6BBBB038" w14:textId="77777777" w:rsidR="003261F6" w:rsidRDefault="00F13535">
      <w:r>
        <w:t> </w:t>
      </w:r>
    </w:p>
    <w:tbl>
      <w:tblPr>
        <w:tblW w:w="46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2014"/>
        <w:gridCol w:w="4456"/>
      </w:tblGrid>
      <w:tr w:rsidR="003261F6" w14:paraId="0DDCC299" w14:textId="77777777">
        <w:tc>
          <w:tcPr>
            <w:tcW w:w="1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3B99" w14:textId="77777777" w:rsidR="003261F6" w:rsidRDefault="00F13535">
            <w:r>
              <w:rPr>
                <w:b/>
                <w:bCs/>
              </w:rPr>
              <w:t>Type of insurance: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1BC0" w14:textId="77777777" w:rsidR="003261F6" w:rsidRDefault="00F13535">
            <w:r>
              <w:rPr>
                <w:b/>
                <w:bCs/>
              </w:rPr>
              <w:t>Insurance rate in %: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4CF1" w14:textId="77777777" w:rsidR="003261F6" w:rsidRDefault="00F13535">
            <w:r>
              <w:rPr>
                <w:b/>
                <w:bCs/>
              </w:rPr>
              <w:t>Method of financing:</w:t>
            </w:r>
          </w:p>
        </w:tc>
      </w:tr>
      <w:tr w:rsidR="003261F6" w14:paraId="02543203" w14:textId="77777777">
        <w:tc>
          <w:tcPr>
            <w:tcW w:w="1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2399" w14:textId="77777777" w:rsidR="003261F6" w:rsidRDefault="00F13535">
            <w:r>
              <w:t> retirement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9160" w14:textId="77777777" w:rsidR="003261F6" w:rsidRDefault="00F13535">
            <w:r>
              <w:t>19,52 %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0630" w14:textId="45A3C270" w:rsidR="003261F6" w:rsidRDefault="00F13535">
            <w:r>
              <w:t xml:space="preserve"> 9.76% – PhD student, 9.76% – </w:t>
            </w:r>
            <w:r w:rsidR="00AD2D4A">
              <w:t>U</w:t>
            </w:r>
            <w:r>
              <w:t>niversity</w:t>
            </w:r>
          </w:p>
        </w:tc>
      </w:tr>
      <w:tr w:rsidR="003261F6" w14:paraId="5F066009" w14:textId="77777777">
        <w:tc>
          <w:tcPr>
            <w:tcW w:w="1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5702" w14:textId="77777777" w:rsidR="003261F6" w:rsidRDefault="00F13535">
            <w:r>
              <w:t> disability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D13B" w14:textId="77777777" w:rsidR="003261F6" w:rsidRDefault="00F13535">
            <w:r>
              <w:t> 8 %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8565" w14:textId="29E41991" w:rsidR="003261F6" w:rsidRDefault="00F13535">
            <w:r>
              <w:t xml:space="preserve">1.5% PhD student, 6.5% </w:t>
            </w:r>
            <w:r w:rsidR="00AD2D4A">
              <w:t>U</w:t>
            </w:r>
            <w:r>
              <w:t>niversity</w:t>
            </w:r>
          </w:p>
        </w:tc>
      </w:tr>
      <w:tr w:rsidR="003261F6" w14:paraId="5E73BF5A" w14:textId="77777777">
        <w:tc>
          <w:tcPr>
            <w:tcW w:w="1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2C4A" w14:textId="77777777" w:rsidR="003261F6" w:rsidRDefault="00F13535">
            <w:r>
              <w:t> accident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BF63" w14:textId="77777777" w:rsidR="003261F6" w:rsidRDefault="00F13535">
            <w:r>
              <w:t>1,67 %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351E" w14:textId="0607AEBD" w:rsidR="003261F6" w:rsidRDefault="00F13535">
            <w:r>
              <w:t xml:space="preserve">the accident insurance is entirely financed by the </w:t>
            </w:r>
            <w:r w:rsidR="00AD2D4A">
              <w:t>U</w:t>
            </w:r>
            <w:r>
              <w:t>niversity</w:t>
            </w:r>
          </w:p>
        </w:tc>
      </w:tr>
      <w:tr w:rsidR="003261F6" w14:paraId="10628084" w14:textId="77777777">
        <w:tc>
          <w:tcPr>
            <w:tcW w:w="1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B87D" w14:textId="77777777" w:rsidR="003261F6" w:rsidRDefault="00F13535">
            <w:r>
              <w:t> sickness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5040" w14:textId="77777777" w:rsidR="003261F6" w:rsidRDefault="00F13535">
            <w:r>
              <w:t>2,45 %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93F8" w14:textId="77777777" w:rsidR="003261F6" w:rsidRDefault="00F13535">
            <w:r>
              <w:t xml:space="preserve">2.45 % — the sickness insurance is fully financed by a PhD student </w:t>
            </w:r>
          </w:p>
        </w:tc>
      </w:tr>
      <w:tr w:rsidR="003261F6" w14:paraId="4F525F4B" w14:textId="77777777">
        <w:tc>
          <w:tcPr>
            <w:tcW w:w="19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FF54" w14:textId="77777777" w:rsidR="003261F6" w:rsidRDefault="00F13535">
            <w:r>
              <w:t> health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F5E8" w14:textId="77777777" w:rsidR="003261F6" w:rsidRDefault="00F13535">
            <w:r>
              <w:t> 9 %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AE8F" w14:textId="49101FC0" w:rsidR="003261F6" w:rsidRDefault="00F13535">
            <w:r>
              <w:t xml:space="preserve">9 % — the health insurance is paid by the </w:t>
            </w:r>
            <w:r w:rsidR="00AD2D4A">
              <w:t>U</w:t>
            </w:r>
            <w:r>
              <w:t>niversity and is financed by the state budget</w:t>
            </w:r>
          </w:p>
        </w:tc>
      </w:tr>
    </w:tbl>
    <w:p w14:paraId="261E94B1" w14:textId="77777777" w:rsidR="003261F6" w:rsidRDefault="00F13535">
      <w:r>
        <w:t> </w:t>
      </w:r>
    </w:p>
    <w:p w14:paraId="7E3B18F9" w14:textId="45A79800" w:rsidR="003261F6" w:rsidRDefault="00F13535">
      <w:r>
        <w:t xml:space="preserve">PhD students </w:t>
      </w:r>
      <w:r w:rsidR="00AD2D4A">
        <w:t>are</w:t>
      </w:r>
      <w:r>
        <w:t xml:space="preserve"> compulsorily subject to health insurance if they are not otherwise insured and do not have </w:t>
      </w:r>
      <w:r w:rsidR="00AD2D4A">
        <w:t>a family member's status</w:t>
      </w:r>
      <w:r>
        <w:t>.</w:t>
      </w:r>
    </w:p>
    <w:p w14:paraId="3C39FE05" w14:textId="00D0C7B2" w:rsidR="003261F6" w:rsidRDefault="00F13535">
      <w:r>
        <w:t xml:space="preserve">The health insurance lasts from the date of the declaration of non-compliance with the health insurance obligation under a different reason, but not earlier than the date of the first semester of </w:t>
      </w:r>
      <w:r w:rsidR="00AD2D4A">
        <w:t>education's commencement</w:t>
      </w:r>
      <w:r>
        <w:t xml:space="preserve">. It expires on </w:t>
      </w:r>
      <w:r w:rsidR="00AD2D4A">
        <w:t>completing</w:t>
      </w:r>
      <w:r>
        <w:t xml:space="preserve"> the doctoral education or removal from the PhD students' list.</w:t>
      </w:r>
    </w:p>
    <w:p w14:paraId="17D2DF82" w14:textId="7713ABCF" w:rsidR="003261F6" w:rsidRDefault="00F13535">
      <w:r>
        <w:t xml:space="preserve">The PhD student registered by JU MC for health insurance is obliged to inform the </w:t>
      </w:r>
      <w:r w:rsidR="00AD2D4A">
        <w:t>Doctoral School's office</w:t>
      </w:r>
      <w:r>
        <w:t xml:space="preserve"> about any other form of health insurance registration and any change of his/her personal </w:t>
      </w:r>
      <w:r w:rsidR="00AD2D4A">
        <w:t xml:space="preserve">data </w:t>
      </w:r>
      <w:r>
        <w:t>or his/her family members. </w:t>
      </w:r>
    </w:p>
    <w:p w14:paraId="0FD541F7" w14:textId="77777777" w:rsidR="003261F6" w:rsidRDefault="003261F6"/>
    <w:sectPr w:rsidR="003261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28F4" w14:textId="77777777" w:rsidR="00A9158E" w:rsidRDefault="00A9158E">
      <w:pPr>
        <w:spacing w:after="0" w:line="240" w:lineRule="auto"/>
      </w:pPr>
      <w:r>
        <w:separator/>
      </w:r>
    </w:p>
  </w:endnote>
  <w:endnote w:type="continuationSeparator" w:id="0">
    <w:p w14:paraId="361DD010" w14:textId="77777777" w:rsidR="00A9158E" w:rsidRDefault="00A9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EB6C" w14:textId="77777777" w:rsidR="00A9158E" w:rsidRDefault="00A915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AE1329" w14:textId="77777777" w:rsidR="00A9158E" w:rsidRDefault="00A9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F6"/>
    <w:rsid w:val="000726D8"/>
    <w:rsid w:val="003261F6"/>
    <w:rsid w:val="004B1EF7"/>
    <w:rsid w:val="00A9158E"/>
    <w:rsid w:val="00AD2D4A"/>
    <w:rsid w:val="00C4190F"/>
    <w:rsid w:val="00F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62D8"/>
  <w15:docId w15:val="{9B57E183-4237-D948-8F72-A25915D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70D5A6-A757-4F47-933D-CA4D1F75F38A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95E5D-09BD-4991-889E-2B59DD26F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DF6B5-0B4E-4610-BC96-423B6DCB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DBC9E-CA58-4771-8FD7-58560E9EF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Chmielowska</dc:creator>
  <dc:description/>
  <cp:lastModifiedBy>Barbara Chmielowska</cp:lastModifiedBy>
  <cp:revision>2</cp:revision>
  <dcterms:created xsi:type="dcterms:W3CDTF">2021-03-28T18:31:00Z</dcterms:created>
  <dcterms:modified xsi:type="dcterms:W3CDTF">2021-03-28T18:31:00Z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documentId_7171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