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83D15" w14:textId="185652D4" w:rsidR="007D1C96" w:rsidRPr="00CD50F6" w:rsidRDefault="007D1C96" w:rsidP="007D1C96">
      <w:pPr>
        <w:spacing w:line="360" w:lineRule="auto"/>
        <w:jc w:val="center"/>
        <w:rPr>
          <w:rFonts w:ascii="Times New Roman" w:hAnsi="Times New Roman"/>
          <w:b/>
          <w:sz w:val="24"/>
          <w:szCs w:val="24"/>
        </w:rPr>
      </w:pPr>
      <w:r>
        <w:rPr>
          <w:rFonts w:ascii="Times New Roman" w:hAnsi="Times New Roman"/>
          <w:b/>
          <w:sz w:val="24"/>
        </w:rPr>
        <w:t>Documents to be submitted - Admission 202</w:t>
      </w:r>
      <w:r w:rsidR="00B43B0C">
        <w:rPr>
          <w:rFonts w:ascii="Times New Roman" w:hAnsi="Times New Roman"/>
          <w:b/>
          <w:sz w:val="24"/>
        </w:rPr>
        <w:t>4</w:t>
      </w:r>
      <w:r>
        <w:rPr>
          <w:rFonts w:ascii="Times New Roman" w:hAnsi="Times New Roman"/>
          <w:b/>
          <w:sz w:val="24"/>
        </w:rPr>
        <w:t>/202</w:t>
      </w:r>
      <w:r w:rsidR="00B43B0C">
        <w:rPr>
          <w:rFonts w:ascii="Times New Roman" w:hAnsi="Times New Roman"/>
          <w:b/>
          <w:sz w:val="24"/>
        </w:rPr>
        <w:t>5</w:t>
      </w:r>
    </w:p>
    <w:p w14:paraId="21BC1404" w14:textId="77777777" w:rsidR="007D1C96" w:rsidRDefault="007D1C96" w:rsidP="007D1C96">
      <w:pPr>
        <w:spacing w:line="360" w:lineRule="auto"/>
        <w:jc w:val="both"/>
        <w:rPr>
          <w:rFonts w:ascii="Times New Roman" w:hAnsi="Times New Roman"/>
          <w:b/>
          <w:sz w:val="24"/>
          <w:szCs w:val="24"/>
        </w:rPr>
      </w:pPr>
      <w:r>
        <w:rPr>
          <w:rFonts w:ascii="Times New Roman" w:hAnsi="Times New Roman"/>
          <w:b/>
          <w:sz w:val="24"/>
        </w:rPr>
        <w:t>To register, candidates are required to submit the following documents within the specified period:</w:t>
      </w:r>
    </w:p>
    <w:p w14:paraId="47589892" w14:textId="77777777" w:rsidR="007D1C96" w:rsidRPr="00007BFD" w:rsidRDefault="007D1C96" w:rsidP="007D1C96">
      <w:pPr>
        <w:pStyle w:val="TreA"/>
        <w:numPr>
          <w:ilvl w:val="0"/>
          <w:numId w:val="2"/>
        </w:numPr>
        <w:spacing w:line="360" w:lineRule="auto"/>
        <w:ind w:left="426"/>
        <w:jc w:val="both"/>
        <w:rPr>
          <w:rFonts w:ascii="Times New Roman" w:hAnsi="Times New Roman" w:cs="Times New Roman"/>
          <w:b/>
          <w:color w:val="000000" w:themeColor="text1"/>
          <w:sz w:val="24"/>
          <w:szCs w:val="24"/>
        </w:rPr>
      </w:pPr>
      <w:r>
        <w:rPr>
          <w:rFonts w:ascii="Times New Roman" w:hAnsi="Times New Roman"/>
          <w:b/>
          <w:bCs/>
          <w:color w:val="000000" w:themeColor="text1"/>
          <w:sz w:val="24"/>
        </w:rPr>
        <w:t>application form</w:t>
      </w:r>
      <w:r>
        <w:rPr>
          <w:rFonts w:ascii="Times New Roman" w:hAnsi="Times New Roman"/>
          <w:color w:val="000000" w:themeColor="text1"/>
          <w:sz w:val="24"/>
        </w:rPr>
        <w:t xml:space="preserve"> printed from the IRK system (online application system) and signed by the candidate, including, in particular, consent to the processing of personal data, confirming knowledge of the method, scope and purpose of the processing</w:t>
      </w:r>
      <w:r>
        <w:rPr>
          <w:rFonts w:asciiTheme="minorHAnsi" w:hAnsiTheme="minorHAnsi"/>
          <w:color w:val="000000" w:themeColor="text1"/>
          <w:sz w:val="24"/>
        </w:rPr>
        <w:t>;</w:t>
      </w:r>
    </w:p>
    <w:p w14:paraId="2CE1FEF1" w14:textId="77777777" w:rsidR="007D1C96" w:rsidRPr="009B0A20" w:rsidRDefault="007D1C96" w:rsidP="007D1C96">
      <w:pPr>
        <w:pStyle w:val="TreA"/>
        <w:spacing w:line="360" w:lineRule="auto"/>
        <w:ind w:left="66"/>
        <w:jc w:val="both"/>
        <w:rPr>
          <w:rFonts w:ascii="Times New Roman" w:hAnsi="Times New Roman" w:cs="Times New Roman"/>
          <w:b/>
          <w:color w:val="000000" w:themeColor="text1"/>
          <w:sz w:val="24"/>
          <w:szCs w:val="24"/>
          <w:lang w:val="en-US"/>
        </w:rPr>
      </w:pPr>
    </w:p>
    <w:p w14:paraId="74FE3E96" w14:textId="5E9B52DB" w:rsidR="00CC3976" w:rsidRPr="00CC3976" w:rsidRDefault="00CC3976" w:rsidP="00CC3976">
      <w:pPr>
        <w:pStyle w:val="TreA"/>
        <w:numPr>
          <w:ilvl w:val="0"/>
          <w:numId w:val="2"/>
        </w:numPr>
        <w:spacing w:line="360" w:lineRule="auto"/>
        <w:ind w:left="426"/>
        <w:jc w:val="both"/>
        <w:rPr>
          <w:rFonts w:ascii="Times New Roman" w:hAnsi="Times New Roman" w:cs="Times New Roman"/>
          <w:sz w:val="24"/>
          <w:szCs w:val="24"/>
        </w:rPr>
      </w:pPr>
      <w:r>
        <w:rPr>
          <w:rFonts w:ascii="Times New Roman" w:hAnsi="Times New Roman"/>
          <w:b/>
          <w:sz w:val="24"/>
        </w:rPr>
        <w:t>supplement to the diploma or grade point average certificate for each degree with the grading scale</w:t>
      </w:r>
      <w:r>
        <w:rPr>
          <w:rFonts w:ascii="Times New Roman" w:hAnsi="Times New Roman"/>
          <w:sz w:val="24"/>
        </w:rPr>
        <w:t xml:space="preserve">, i.e. a grade point average certificate for </w:t>
      </w:r>
      <w:r w:rsidR="002257E2">
        <w:rPr>
          <w:rFonts w:ascii="Times New Roman" w:hAnsi="Times New Roman"/>
          <w:sz w:val="24"/>
        </w:rPr>
        <w:t>master’s</w:t>
      </w:r>
      <w:r>
        <w:rPr>
          <w:rFonts w:ascii="Times New Roman" w:hAnsi="Times New Roman"/>
          <w:sz w:val="24"/>
        </w:rPr>
        <w:t xml:space="preserve"> degree courses in accordance with the university regulations, issued by the university where the candidates completed their studies, indicating the grading scale according to which the average has been calculated. </w:t>
      </w:r>
      <w:r>
        <w:rPr>
          <w:rFonts w:ascii="Times New Roman" w:hAnsi="Times New Roman"/>
          <w:b/>
          <w:bCs/>
          <w:sz w:val="24"/>
        </w:rPr>
        <w:t>Graduates of two-cycle studies</w:t>
      </w:r>
      <w:r>
        <w:rPr>
          <w:rFonts w:ascii="Times New Roman" w:hAnsi="Times New Roman"/>
          <w:sz w:val="24"/>
        </w:rPr>
        <w:t xml:space="preserve"> should also submit a certificate stating the grade average of the studies and the grading scale of the first cycle;</w:t>
      </w:r>
    </w:p>
    <w:p w14:paraId="58B3F4EE" w14:textId="77777777" w:rsidR="000830EF" w:rsidRPr="007B7C40" w:rsidRDefault="000830EF" w:rsidP="007D1C96">
      <w:pPr>
        <w:pStyle w:val="Akapitzlist"/>
        <w:spacing w:after="240" w:line="360" w:lineRule="auto"/>
        <w:ind w:left="425"/>
        <w:jc w:val="both"/>
        <w:rPr>
          <w:rFonts w:ascii="Times New Roman" w:hAnsi="Times New Roman"/>
          <w:sz w:val="24"/>
          <w:szCs w:val="24"/>
        </w:rPr>
      </w:pPr>
    </w:p>
    <w:p w14:paraId="0AC832CB" w14:textId="77777777" w:rsidR="007D1C96" w:rsidRDefault="007D1C96" w:rsidP="007D1C96">
      <w:pPr>
        <w:pStyle w:val="Akapitzlist"/>
        <w:numPr>
          <w:ilvl w:val="0"/>
          <w:numId w:val="2"/>
        </w:numPr>
        <w:spacing w:after="240" w:line="360" w:lineRule="auto"/>
        <w:ind w:left="425" w:hanging="425"/>
        <w:jc w:val="both"/>
        <w:rPr>
          <w:rFonts w:ascii="Times New Roman" w:hAnsi="Times New Roman"/>
          <w:sz w:val="24"/>
          <w:szCs w:val="24"/>
        </w:rPr>
      </w:pPr>
      <w:r>
        <w:rPr>
          <w:rFonts w:ascii="Times New Roman" w:hAnsi="Times New Roman"/>
          <w:b/>
          <w:sz w:val="24"/>
        </w:rPr>
        <w:t>copies of documents uploaded to the IRK system at the time of registration:</w:t>
      </w:r>
      <w:r>
        <w:rPr>
          <w:rFonts w:ascii="Times New Roman" w:hAnsi="Times New Roman"/>
          <w:sz w:val="24"/>
        </w:rPr>
        <w:t xml:space="preserve"> </w:t>
      </w:r>
    </w:p>
    <w:p w14:paraId="3D51518A" w14:textId="77777777" w:rsidR="006F624A" w:rsidRDefault="006F624A" w:rsidP="007D1C96">
      <w:pPr>
        <w:pStyle w:val="Akapitzlist"/>
        <w:spacing w:after="240" w:line="360" w:lineRule="auto"/>
        <w:ind w:left="425"/>
        <w:jc w:val="both"/>
        <w:rPr>
          <w:rFonts w:ascii="Times New Roman" w:hAnsi="Times New Roman"/>
          <w:sz w:val="24"/>
          <w:szCs w:val="24"/>
        </w:rPr>
      </w:pPr>
      <w:r>
        <w:rPr>
          <w:rFonts w:ascii="Times New Roman" w:hAnsi="Times New Roman"/>
          <w:sz w:val="24"/>
        </w:rPr>
        <w:t xml:space="preserve">a) academic achievements form (Annex 1), </w:t>
      </w:r>
    </w:p>
    <w:p w14:paraId="73B1F305" w14:textId="3C6661FC" w:rsidR="007D1C96" w:rsidRDefault="006F624A" w:rsidP="007D1C96">
      <w:pPr>
        <w:pStyle w:val="Akapitzlist"/>
        <w:spacing w:after="240" w:line="360" w:lineRule="auto"/>
        <w:ind w:left="425"/>
        <w:jc w:val="both"/>
        <w:rPr>
          <w:rFonts w:ascii="Times New Roman" w:hAnsi="Times New Roman"/>
          <w:sz w:val="24"/>
          <w:szCs w:val="24"/>
        </w:rPr>
      </w:pPr>
      <w:r>
        <w:rPr>
          <w:rFonts w:ascii="Times New Roman" w:hAnsi="Times New Roman"/>
          <w:sz w:val="24"/>
        </w:rPr>
        <w:t>b) confirmation of academic achievements received by e-mail from the JU MC Medical Library</w:t>
      </w:r>
    </w:p>
    <w:p w14:paraId="0CC5097F" w14:textId="0CA54C22" w:rsidR="007D1C96" w:rsidRDefault="00F43F4D" w:rsidP="007D1C96">
      <w:pPr>
        <w:pStyle w:val="Akapitzlist"/>
        <w:spacing w:after="240" w:line="360" w:lineRule="auto"/>
        <w:ind w:left="425"/>
        <w:jc w:val="both"/>
        <w:rPr>
          <w:rFonts w:ascii="Times New Roman" w:hAnsi="Times New Roman"/>
          <w:sz w:val="24"/>
          <w:szCs w:val="24"/>
        </w:rPr>
      </w:pPr>
      <w:r>
        <w:rPr>
          <w:rFonts w:ascii="Times New Roman" w:hAnsi="Times New Roman"/>
          <w:sz w:val="24"/>
        </w:rPr>
        <w:t>c) confirmation of awards for outstanding academic achievements other than those related to participation in conferences or awarded solely for learning outcomes (originals available for inspection)</w:t>
      </w:r>
    </w:p>
    <w:p w14:paraId="7E09F838" w14:textId="07C672EE" w:rsidR="00F43F4D" w:rsidRDefault="00F43F4D" w:rsidP="00F43F4D">
      <w:pPr>
        <w:pStyle w:val="Akapitzlist"/>
        <w:spacing w:after="240" w:line="360" w:lineRule="auto"/>
        <w:ind w:left="425"/>
        <w:jc w:val="both"/>
        <w:rPr>
          <w:rFonts w:ascii="Times New Roman" w:hAnsi="Times New Roman"/>
          <w:sz w:val="24"/>
          <w:szCs w:val="24"/>
        </w:rPr>
      </w:pPr>
      <w:r>
        <w:rPr>
          <w:rFonts w:ascii="Times New Roman" w:hAnsi="Times New Roman"/>
          <w:sz w:val="24"/>
        </w:rPr>
        <w:t>d) confirmation of patent applications (originals available for inspection)</w:t>
      </w:r>
    </w:p>
    <w:p w14:paraId="5F846731" w14:textId="3FCC21B5" w:rsidR="00F43F4D" w:rsidRDefault="00F43F4D" w:rsidP="00F43F4D">
      <w:pPr>
        <w:pStyle w:val="Akapitzlist"/>
        <w:spacing w:after="240" w:line="360" w:lineRule="auto"/>
        <w:ind w:left="425"/>
        <w:jc w:val="both"/>
        <w:rPr>
          <w:rFonts w:ascii="Times New Roman" w:hAnsi="Times New Roman"/>
          <w:sz w:val="24"/>
          <w:szCs w:val="24"/>
        </w:rPr>
      </w:pPr>
      <w:r>
        <w:rPr>
          <w:rFonts w:ascii="Times New Roman" w:hAnsi="Times New Roman"/>
          <w:sz w:val="24"/>
        </w:rPr>
        <w:t>e) confirmation of the leadership or editorial role in an academic project obtained through a competition (originals available for inspection);</w:t>
      </w:r>
    </w:p>
    <w:p w14:paraId="75779D89" w14:textId="6C7A7033" w:rsidR="007D1C96" w:rsidRPr="00D1756B" w:rsidRDefault="007D1C96" w:rsidP="007D1C96">
      <w:pPr>
        <w:pStyle w:val="TreA"/>
        <w:numPr>
          <w:ilvl w:val="0"/>
          <w:numId w:val="2"/>
        </w:numPr>
        <w:spacing w:after="240" w:line="360" w:lineRule="auto"/>
        <w:ind w:left="425" w:hanging="425"/>
        <w:jc w:val="both"/>
        <w:rPr>
          <w:rFonts w:ascii="Times New Roman" w:hAnsi="Times New Roman" w:cs="Times New Roman"/>
          <w:color w:val="auto"/>
          <w:sz w:val="24"/>
          <w:szCs w:val="24"/>
        </w:rPr>
      </w:pPr>
      <w:r>
        <w:rPr>
          <w:rFonts w:ascii="Times New Roman" w:hAnsi="Times New Roman"/>
          <w:color w:val="auto"/>
          <w:sz w:val="24"/>
        </w:rPr>
        <w:t xml:space="preserve">copy of the diploma entitling the holder to study at the Doctoral School (available for inspection: </w:t>
      </w:r>
      <w:r>
        <w:rPr>
          <w:rFonts w:ascii="Times New Roman" w:hAnsi="Times New Roman"/>
          <w:b/>
          <w:bCs/>
          <w:color w:val="auto"/>
          <w:sz w:val="24"/>
        </w:rPr>
        <w:t>original diploma</w:t>
      </w:r>
      <w:r>
        <w:rPr>
          <w:rFonts w:ascii="Times New Roman" w:hAnsi="Times New Roman"/>
          <w:color w:val="auto"/>
          <w:sz w:val="24"/>
        </w:rPr>
        <w:t>)</w:t>
      </w:r>
      <w:r>
        <w:rPr>
          <w:rFonts w:ascii="Times New Roman" w:hAnsi="Times New Roman"/>
          <w:b/>
          <w:color w:val="auto"/>
          <w:sz w:val="24"/>
        </w:rPr>
        <w:t xml:space="preserve"> </w:t>
      </w:r>
    </w:p>
    <w:p w14:paraId="547DFD27" w14:textId="77777777" w:rsidR="00D1756B" w:rsidRPr="009B0A20" w:rsidRDefault="00D1756B" w:rsidP="00AC0A21">
      <w:pPr>
        <w:pStyle w:val="TreA"/>
        <w:spacing w:after="240" w:line="360" w:lineRule="auto"/>
        <w:ind w:left="425"/>
        <w:jc w:val="both"/>
        <w:rPr>
          <w:rFonts w:ascii="Times New Roman" w:hAnsi="Times New Roman" w:cs="Times New Roman"/>
          <w:color w:val="auto"/>
          <w:sz w:val="24"/>
          <w:szCs w:val="24"/>
          <w:lang w:val="en-US"/>
        </w:rPr>
      </w:pPr>
    </w:p>
    <w:p w14:paraId="587C24EB" w14:textId="77777777" w:rsidR="00D1756B" w:rsidRPr="009B0A20" w:rsidRDefault="00D1756B" w:rsidP="00AC0A21">
      <w:pPr>
        <w:pStyle w:val="TreA"/>
        <w:spacing w:after="240" w:line="360" w:lineRule="auto"/>
        <w:ind w:left="425"/>
        <w:jc w:val="both"/>
        <w:rPr>
          <w:rFonts w:ascii="Times New Roman" w:hAnsi="Times New Roman" w:cs="Times New Roman"/>
          <w:color w:val="auto"/>
          <w:sz w:val="24"/>
          <w:szCs w:val="24"/>
          <w:lang w:val="en-US"/>
        </w:rPr>
      </w:pPr>
    </w:p>
    <w:p w14:paraId="30C92EE0" w14:textId="77777777" w:rsidR="002257E2" w:rsidRDefault="002257E2" w:rsidP="00AC0A21">
      <w:pPr>
        <w:pStyle w:val="TreA"/>
        <w:spacing w:after="240" w:line="360" w:lineRule="auto"/>
        <w:ind w:left="425"/>
        <w:jc w:val="both"/>
        <w:rPr>
          <w:rFonts w:ascii="Times New Roman" w:hAnsi="Times New Roman"/>
          <w:color w:val="auto"/>
          <w:sz w:val="24"/>
        </w:rPr>
      </w:pPr>
    </w:p>
    <w:p w14:paraId="019A5C61" w14:textId="77777777" w:rsidR="002257E2" w:rsidRDefault="002257E2" w:rsidP="00AC0A21">
      <w:pPr>
        <w:pStyle w:val="TreA"/>
        <w:spacing w:after="240" w:line="360" w:lineRule="auto"/>
        <w:ind w:left="425"/>
        <w:jc w:val="both"/>
        <w:rPr>
          <w:rFonts w:ascii="Times New Roman" w:hAnsi="Times New Roman"/>
          <w:color w:val="auto"/>
          <w:sz w:val="24"/>
        </w:rPr>
      </w:pPr>
    </w:p>
    <w:p w14:paraId="40010522" w14:textId="31180591" w:rsidR="00AC0A21" w:rsidRPr="00AC0A21" w:rsidRDefault="00AC0A21" w:rsidP="00AC0A21">
      <w:pPr>
        <w:pStyle w:val="TreA"/>
        <w:spacing w:after="240" w:line="360" w:lineRule="auto"/>
        <w:ind w:left="425"/>
        <w:jc w:val="both"/>
        <w:rPr>
          <w:rFonts w:ascii="Times New Roman" w:hAnsi="Times New Roman" w:cs="Times New Roman"/>
          <w:color w:val="auto"/>
          <w:sz w:val="24"/>
          <w:szCs w:val="24"/>
        </w:rPr>
      </w:pPr>
      <w:r>
        <w:rPr>
          <w:rFonts w:ascii="Times New Roman" w:hAnsi="Times New Roman"/>
          <w:color w:val="auto"/>
          <w:sz w:val="24"/>
        </w:rPr>
        <w:lastRenderedPageBreak/>
        <w:t xml:space="preserve">Higher education diplomas obtained abroad should be: </w:t>
      </w:r>
    </w:p>
    <w:p w14:paraId="576A7BD1" w14:textId="04AD6FC3" w:rsidR="00AC0A21" w:rsidRPr="00AC0A21" w:rsidRDefault="00AC0A21" w:rsidP="00AC0A21">
      <w:pPr>
        <w:pStyle w:val="TreA"/>
        <w:spacing w:after="240" w:line="360" w:lineRule="auto"/>
        <w:ind w:left="425"/>
        <w:jc w:val="both"/>
        <w:rPr>
          <w:rFonts w:ascii="Times New Roman" w:hAnsi="Times New Roman" w:cs="Times New Roman"/>
          <w:color w:val="auto"/>
          <w:sz w:val="24"/>
          <w:szCs w:val="24"/>
        </w:rPr>
      </w:pPr>
      <w:r>
        <w:rPr>
          <w:rFonts w:ascii="Times New Roman" w:hAnsi="Times New Roman"/>
          <w:color w:val="auto"/>
          <w:sz w:val="24"/>
        </w:rPr>
        <w:t>a. accompanied by an apostille if the issuing country is a party to the Convention abolishing the requirement of legalisation of foreign public documents, drawn up at The Hague on 5 October 1961 (Dz.</w:t>
      </w:r>
      <w:r w:rsidR="002257E2">
        <w:rPr>
          <w:rFonts w:ascii="Times New Roman" w:hAnsi="Times New Roman"/>
          <w:color w:val="auto"/>
          <w:sz w:val="24"/>
        </w:rPr>
        <w:t xml:space="preserve"> </w:t>
      </w:r>
      <w:r>
        <w:rPr>
          <w:rFonts w:ascii="Times New Roman" w:hAnsi="Times New Roman"/>
          <w:color w:val="auto"/>
          <w:sz w:val="24"/>
        </w:rPr>
        <w:t xml:space="preserve">U. [Journal of Laws] 2005 no.112, item 938) or </w:t>
      </w:r>
    </w:p>
    <w:p w14:paraId="302F4153" w14:textId="39CBE48F" w:rsidR="00AC0A21" w:rsidRDefault="002257E2" w:rsidP="00D1756B">
      <w:pPr>
        <w:pStyle w:val="TreA"/>
        <w:spacing w:after="240" w:line="360" w:lineRule="auto"/>
        <w:ind w:left="425"/>
        <w:jc w:val="both"/>
        <w:rPr>
          <w:rFonts w:ascii="Times New Roman" w:hAnsi="Times New Roman" w:cs="Times New Roman"/>
          <w:color w:val="auto"/>
          <w:sz w:val="24"/>
          <w:szCs w:val="24"/>
        </w:rPr>
      </w:pPr>
      <w:r>
        <w:rPr>
          <w:rFonts w:ascii="Times New Roman" w:hAnsi="Times New Roman"/>
          <w:color w:val="auto"/>
          <w:sz w:val="24"/>
        </w:rPr>
        <w:t xml:space="preserve"> b. </w:t>
      </w:r>
      <w:r w:rsidR="00AC0A21">
        <w:rPr>
          <w:rFonts w:ascii="Times New Roman" w:hAnsi="Times New Roman"/>
          <w:color w:val="auto"/>
          <w:sz w:val="24"/>
        </w:rPr>
        <w:t>subject to legalisation, in other cases.</w:t>
      </w:r>
    </w:p>
    <w:p w14:paraId="08E38FB4" w14:textId="77777777" w:rsidR="007D1C96" w:rsidRPr="002D2902" w:rsidRDefault="007D1C96" w:rsidP="007D1C96">
      <w:pPr>
        <w:pStyle w:val="TreA"/>
        <w:numPr>
          <w:ilvl w:val="0"/>
          <w:numId w:val="2"/>
        </w:numPr>
        <w:spacing w:after="240" w:line="360" w:lineRule="auto"/>
        <w:ind w:left="425" w:hanging="425"/>
        <w:jc w:val="both"/>
        <w:rPr>
          <w:rFonts w:ascii="Times New Roman" w:hAnsi="Times New Roman" w:cs="Times New Roman"/>
          <w:color w:val="auto"/>
          <w:sz w:val="24"/>
          <w:szCs w:val="24"/>
        </w:rPr>
      </w:pPr>
      <w:r>
        <w:rPr>
          <w:rFonts w:ascii="Times New Roman" w:hAnsi="Times New Roman"/>
          <w:color w:val="auto"/>
          <w:sz w:val="24"/>
        </w:rPr>
        <w:t xml:space="preserve">available for inspection: </w:t>
      </w:r>
      <w:r w:rsidRPr="002257E2">
        <w:rPr>
          <w:rFonts w:ascii="Times New Roman" w:hAnsi="Times New Roman"/>
          <w:b/>
          <w:bCs/>
          <w:color w:val="auto"/>
          <w:sz w:val="24"/>
        </w:rPr>
        <w:t>ID</w:t>
      </w:r>
      <w:r>
        <w:rPr>
          <w:rFonts w:ascii="Times New Roman" w:hAnsi="Times New Roman"/>
          <w:b/>
          <w:color w:val="auto"/>
          <w:sz w:val="24"/>
        </w:rPr>
        <w:t xml:space="preserve"> </w:t>
      </w:r>
      <w:r>
        <w:rPr>
          <w:rFonts w:ascii="Times New Roman" w:hAnsi="Times New Roman"/>
          <w:color w:val="auto"/>
          <w:sz w:val="24"/>
        </w:rPr>
        <w:t>(in the case of foreigners, passport),</w:t>
      </w:r>
    </w:p>
    <w:p w14:paraId="1D0C947B" w14:textId="77777777" w:rsidR="004C227C" w:rsidRPr="004C227C" w:rsidRDefault="004C227C" w:rsidP="004C227C">
      <w:pPr>
        <w:pStyle w:val="TreA"/>
        <w:numPr>
          <w:ilvl w:val="0"/>
          <w:numId w:val="2"/>
        </w:numPr>
        <w:spacing w:after="240" w:line="360" w:lineRule="auto"/>
        <w:ind w:left="425" w:hanging="425"/>
        <w:jc w:val="both"/>
        <w:rPr>
          <w:rFonts w:ascii="Times New Roman" w:hAnsi="Times New Roman" w:cs="Times New Roman"/>
          <w:color w:val="auto"/>
          <w:sz w:val="24"/>
          <w:szCs w:val="24"/>
        </w:rPr>
      </w:pPr>
      <w:r>
        <w:rPr>
          <w:rFonts w:ascii="Times New Roman" w:hAnsi="Times New Roman"/>
          <w:color w:val="auto"/>
          <w:sz w:val="24"/>
        </w:rPr>
        <w:t xml:space="preserve">available for inspection: originals of all documents (except publications, monographs and participation in conferences) </w:t>
      </w:r>
    </w:p>
    <w:p w14:paraId="06A8ECFB" w14:textId="2285DE4A" w:rsidR="007D1C96" w:rsidRPr="002257E2" w:rsidRDefault="007D1C96" w:rsidP="007D1C96">
      <w:pPr>
        <w:pStyle w:val="TreA"/>
        <w:numPr>
          <w:ilvl w:val="0"/>
          <w:numId w:val="2"/>
        </w:numPr>
        <w:spacing w:after="240" w:line="360" w:lineRule="auto"/>
        <w:ind w:left="425" w:hanging="425"/>
        <w:jc w:val="both"/>
        <w:rPr>
          <w:rFonts w:ascii="Times New Roman" w:hAnsi="Times New Roman" w:cs="Times New Roman"/>
          <w:b/>
          <w:i/>
          <w:iCs/>
          <w:color w:val="auto"/>
          <w:sz w:val="24"/>
          <w:szCs w:val="24"/>
        </w:rPr>
      </w:pPr>
      <w:r>
        <w:rPr>
          <w:rFonts w:ascii="Times New Roman" w:hAnsi="Times New Roman"/>
          <w:b/>
          <w:color w:val="auto"/>
          <w:sz w:val="24"/>
        </w:rPr>
        <w:t>consent for employment or academic research</w:t>
      </w:r>
      <w:r>
        <w:rPr>
          <w:rFonts w:ascii="Times New Roman" w:hAnsi="Times New Roman"/>
          <w:color w:val="auto"/>
          <w:sz w:val="24"/>
        </w:rPr>
        <w:t xml:space="preserve"> from the medical centre responsible for the research site (</w:t>
      </w:r>
      <w:r w:rsidRPr="002257E2">
        <w:rPr>
          <w:rFonts w:ascii="Times New Roman" w:hAnsi="Times New Roman"/>
          <w:i/>
          <w:iCs/>
          <w:color w:val="auto"/>
          <w:sz w:val="24"/>
        </w:rPr>
        <w:t xml:space="preserve">you will be given this document at </w:t>
      </w:r>
      <w:r w:rsidR="002257E2" w:rsidRPr="002257E2">
        <w:rPr>
          <w:rFonts w:ascii="Times New Roman" w:hAnsi="Times New Roman"/>
          <w:i/>
          <w:iCs/>
          <w:color w:val="auto"/>
          <w:sz w:val="24"/>
        </w:rPr>
        <w:t>registration,</w:t>
      </w:r>
      <w:r w:rsidRPr="002257E2">
        <w:rPr>
          <w:rFonts w:ascii="Times New Roman" w:hAnsi="Times New Roman"/>
          <w:i/>
          <w:iCs/>
          <w:color w:val="auto"/>
          <w:sz w:val="24"/>
        </w:rPr>
        <w:t xml:space="preserve"> and you will return it later)</w:t>
      </w:r>
    </w:p>
    <w:p w14:paraId="7F1A0721" w14:textId="1BB08186" w:rsidR="00B47074" w:rsidRDefault="007D1C96" w:rsidP="00B47074">
      <w:pPr>
        <w:pStyle w:val="TreA"/>
        <w:numPr>
          <w:ilvl w:val="0"/>
          <w:numId w:val="2"/>
        </w:numPr>
        <w:spacing w:line="360" w:lineRule="auto"/>
        <w:ind w:left="426"/>
        <w:jc w:val="both"/>
        <w:rPr>
          <w:rFonts w:ascii="Times New Roman" w:hAnsi="Times New Roman" w:cs="Times New Roman"/>
          <w:color w:val="auto"/>
          <w:sz w:val="24"/>
          <w:szCs w:val="24"/>
        </w:rPr>
      </w:pPr>
      <w:r>
        <w:rPr>
          <w:rFonts w:ascii="Times New Roman" w:hAnsi="Times New Roman"/>
          <w:b/>
          <w:color w:val="auto"/>
          <w:sz w:val="24"/>
        </w:rPr>
        <w:t>copy of a document proving current professional licence</w:t>
      </w:r>
      <w:r>
        <w:rPr>
          <w:rFonts w:ascii="Times New Roman" w:hAnsi="Times New Roman"/>
          <w:color w:val="auto"/>
          <w:sz w:val="24"/>
        </w:rPr>
        <w:t xml:space="preserve">   </w:t>
      </w:r>
    </w:p>
    <w:p w14:paraId="034F61C9" w14:textId="4A3D2DA4" w:rsidR="00AC0A21" w:rsidRDefault="009C66D5" w:rsidP="00B47074">
      <w:pPr>
        <w:pStyle w:val="TreA"/>
        <w:spacing w:line="360" w:lineRule="auto"/>
        <w:ind w:left="567"/>
        <w:jc w:val="both"/>
        <w:rPr>
          <w:rFonts w:ascii="Times New Roman" w:hAnsi="Times New Roman" w:cs="Times New Roman"/>
          <w:color w:val="auto"/>
          <w:sz w:val="24"/>
          <w:szCs w:val="24"/>
        </w:rPr>
      </w:pPr>
      <w:r>
        <w:rPr>
          <w:rFonts w:ascii="Times New Roman" w:hAnsi="Times New Roman"/>
          <w:color w:val="auto"/>
          <w:sz w:val="24"/>
        </w:rPr>
        <w:t xml:space="preserve">(original for inspection) for a doctor, dentist, physiotherapist, nurse and midwife - for projects requiring the PhD student to carry out medical procedures on patients without assistance. The right to practise as a doctor or dentist for the duration of the postgraduate internship is also acceptable.   </w:t>
      </w:r>
    </w:p>
    <w:p w14:paraId="439B625E" w14:textId="77777777" w:rsidR="00B47074" w:rsidRPr="009B0A20" w:rsidRDefault="00B47074" w:rsidP="00B47074">
      <w:pPr>
        <w:pStyle w:val="TreA"/>
        <w:spacing w:line="360" w:lineRule="auto"/>
        <w:ind w:left="567"/>
        <w:jc w:val="both"/>
        <w:rPr>
          <w:rFonts w:ascii="Times New Roman" w:hAnsi="Times New Roman" w:cs="Times New Roman"/>
          <w:color w:val="auto"/>
          <w:sz w:val="24"/>
          <w:szCs w:val="24"/>
          <w:lang w:val="en-US"/>
        </w:rPr>
      </w:pPr>
    </w:p>
    <w:p w14:paraId="50A382F5" w14:textId="2A049169" w:rsidR="00AC0A21" w:rsidRPr="00C23FD8" w:rsidRDefault="00AC0A21" w:rsidP="00C23FD8">
      <w:pPr>
        <w:pStyle w:val="TreA"/>
        <w:numPr>
          <w:ilvl w:val="0"/>
          <w:numId w:val="2"/>
        </w:numPr>
        <w:spacing w:line="360" w:lineRule="auto"/>
        <w:ind w:left="426" w:hanging="284"/>
        <w:jc w:val="both"/>
        <w:rPr>
          <w:rFonts w:ascii="Times New Roman" w:hAnsi="Times New Roman" w:cs="Times New Roman"/>
          <w:color w:val="auto"/>
          <w:sz w:val="24"/>
          <w:szCs w:val="24"/>
        </w:rPr>
      </w:pPr>
      <w:r>
        <w:rPr>
          <w:rFonts w:ascii="Times New Roman" w:hAnsi="Times New Roman"/>
          <w:b/>
          <w:bCs/>
          <w:sz w:val="24"/>
        </w:rPr>
        <w:t xml:space="preserve">Copy of language qualification certificate </w:t>
      </w:r>
      <w:r>
        <w:rPr>
          <w:rFonts w:ascii="Times New Roman" w:hAnsi="Times New Roman"/>
          <w:sz w:val="24"/>
        </w:rPr>
        <w:t>(applies to candidates wishing to study in English from the 1st year;</w:t>
      </w:r>
      <w:r>
        <w:rPr>
          <w:rFonts w:ascii="Times New Roman" w:hAnsi="Times New Roman"/>
          <w:color w:val="auto"/>
          <w:sz w:val="24"/>
        </w:rPr>
        <w:t xml:space="preserve"> </w:t>
      </w:r>
      <w:r>
        <w:rPr>
          <w:rFonts w:ascii="Times New Roman" w:hAnsi="Times New Roman"/>
          <w:b/>
          <w:color w:val="auto"/>
          <w:sz w:val="24"/>
        </w:rPr>
        <w:t>original for inspection</w:t>
      </w:r>
      <w:r>
        <w:rPr>
          <w:rFonts w:ascii="Times New Roman" w:hAnsi="Times New Roman"/>
          <w:color w:val="auto"/>
          <w:sz w:val="24"/>
        </w:rPr>
        <w:t>).</w:t>
      </w:r>
    </w:p>
    <w:p w14:paraId="55A5D404" w14:textId="2505612E" w:rsidR="00AC0A21" w:rsidRPr="009B0A20" w:rsidRDefault="00AC0A21" w:rsidP="00B47074">
      <w:pPr>
        <w:pStyle w:val="TreA"/>
        <w:spacing w:line="360" w:lineRule="auto"/>
        <w:ind w:left="426" w:hanging="284"/>
        <w:jc w:val="both"/>
        <w:rPr>
          <w:rFonts w:ascii="Times New Roman" w:hAnsi="Times New Roman" w:cs="Times New Roman"/>
          <w:color w:val="auto"/>
          <w:sz w:val="24"/>
          <w:szCs w:val="24"/>
          <w:lang w:val="en-US"/>
        </w:rPr>
      </w:pPr>
    </w:p>
    <w:p w14:paraId="5A6DE106" w14:textId="77777777" w:rsidR="00AC0A21" w:rsidRPr="009B0A20" w:rsidRDefault="00AC0A21" w:rsidP="00D1756B">
      <w:pPr>
        <w:pStyle w:val="TreA"/>
        <w:spacing w:line="360" w:lineRule="auto"/>
        <w:jc w:val="both"/>
        <w:rPr>
          <w:rFonts w:ascii="Times New Roman" w:hAnsi="Times New Roman" w:cs="Times New Roman"/>
          <w:color w:val="auto"/>
          <w:sz w:val="24"/>
          <w:szCs w:val="24"/>
          <w:lang w:val="en-US"/>
        </w:rPr>
      </w:pPr>
    </w:p>
    <w:p w14:paraId="7AFC2C1D" w14:textId="77777777" w:rsidR="007D1C96" w:rsidRPr="009B0A20" w:rsidRDefault="007D1C96" w:rsidP="0090506E">
      <w:pPr>
        <w:pStyle w:val="TreA"/>
        <w:spacing w:line="360" w:lineRule="auto"/>
        <w:ind w:left="426"/>
        <w:jc w:val="both"/>
        <w:rPr>
          <w:rFonts w:ascii="Times New Roman" w:hAnsi="Times New Roman" w:cs="Times New Roman"/>
          <w:color w:val="auto"/>
          <w:sz w:val="24"/>
          <w:szCs w:val="24"/>
          <w:lang w:val="en-US"/>
        </w:rPr>
      </w:pPr>
    </w:p>
    <w:p w14:paraId="5F01722D" w14:textId="77777777" w:rsidR="00AC0A21" w:rsidRPr="009B0A20" w:rsidRDefault="00AC0A21" w:rsidP="00D1756B">
      <w:pPr>
        <w:pStyle w:val="TreA"/>
        <w:spacing w:line="360" w:lineRule="auto"/>
        <w:jc w:val="both"/>
        <w:rPr>
          <w:rFonts w:ascii="Times New Roman" w:hAnsi="Times New Roman" w:cs="Times New Roman"/>
          <w:color w:val="auto"/>
          <w:sz w:val="24"/>
          <w:szCs w:val="24"/>
          <w:lang w:val="en-US"/>
        </w:rPr>
      </w:pPr>
    </w:p>
    <w:p w14:paraId="7B468A31" w14:textId="77777777" w:rsidR="007D1C96" w:rsidRPr="009B0A20" w:rsidRDefault="007D1C96" w:rsidP="007D1C96">
      <w:pPr>
        <w:pStyle w:val="TreA"/>
        <w:spacing w:line="360" w:lineRule="auto"/>
        <w:jc w:val="both"/>
        <w:rPr>
          <w:rFonts w:ascii="Times New Roman" w:hAnsi="Times New Roman" w:cs="Times New Roman"/>
          <w:color w:val="auto"/>
          <w:sz w:val="24"/>
          <w:szCs w:val="24"/>
          <w:lang w:val="en-US"/>
        </w:rPr>
      </w:pPr>
    </w:p>
    <w:p w14:paraId="5C307DF9" w14:textId="77777777" w:rsidR="007D1C96" w:rsidRPr="009B0A20" w:rsidRDefault="007D1C96" w:rsidP="007D1C96">
      <w:pPr>
        <w:pStyle w:val="TreA"/>
        <w:spacing w:line="360" w:lineRule="auto"/>
        <w:jc w:val="both"/>
        <w:rPr>
          <w:rFonts w:ascii="Times New Roman" w:hAnsi="Times New Roman" w:cs="Times New Roman"/>
          <w:color w:val="auto"/>
          <w:sz w:val="24"/>
          <w:szCs w:val="24"/>
          <w:lang w:val="en-US"/>
        </w:rPr>
      </w:pPr>
    </w:p>
    <w:p w14:paraId="4B5DA32E" w14:textId="77777777" w:rsidR="007D1C96" w:rsidRPr="009B0A20" w:rsidRDefault="007D1C96" w:rsidP="007D1C96">
      <w:pPr>
        <w:pStyle w:val="TreA"/>
        <w:spacing w:line="360" w:lineRule="auto"/>
        <w:jc w:val="both"/>
        <w:rPr>
          <w:rFonts w:ascii="Times New Roman" w:hAnsi="Times New Roman" w:cs="Times New Roman"/>
          <w:color w:val="auto"/>
          <w:sz w:val="24"/>
          <w:szCs w:val="24"/>
          <w:lang w:val="en-US"/>
        </w:rPr>
      </w:pPr>
    </w:p>
    <w:p w14:paraId="624A00DD" w14:textId="77777777" w:rsidR="007D1C96" w:rsidRPr="009B0A20" w:rsidRDefault="007D1C96" w:rsidP="007D1C96">
      <w:pPr>
        <w:pStyle w:val="TreA"/>
        <w:spacing w:line="360" w:lineRule="auto"/>
        <w:jc w:val="both"/>
        <w:rPr>
          <w:rFonts w:ascii="Times New Roman" w:hAnsi="Times New Roman" w:cs="Times New Roman"/>
          <w:color w:val="auto"/>
          <w:sz w:val="24"/>
          <w:szCs w:val="24"/>
          <w:lang w:val="en-US"/>
        </w:rPr>
      </w:pPr>
    </w:p>
    <w:p w14:paraId="4C10005E" w14:textId="77777777" w:rsidR="003B5723" w:rsidRDefault="003B5723"/>
    <w:sectPr w:rsidR="003B5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3685D"/>
    <w:multiLevelType w:val="hybridMultilevel"/>
    <w:tmpl w:val="FC18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394062"/>
    <w:multiLevelType w:val="hybridMultilevel"/>
    <w:tmpl w:val="3B326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4A74EC"/>
    <w:multiLevelType w:val="hybridMultilevel"/>
    <w:tmpl w:val="40CE94FA"/>
    <w:lvl w:ilvl="0" w:tplc="E346AB8C">
      <w:start w:val="1"/>
      <w:numFmt w:val="decimal"/>
      <w:lvlText w:val="%1."/>
      <w:lvlJc w:val="left"/>
      <w:pPr>
        <w:ind w:left="720" w:hanging="360"/>
      </w:pPr>
      <w:rPr>
        <w:rFonts w:ascii="Times New Roman" w:eastAsia="Calibri"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8389782">
    <w:abstractNumId w:val="0"/>
  </w:num>
  <w:num w:numId="2" w16cid:durableId="1761834752">
    <w:abstractNumId w:val="2"/>
  </w:num>
  <w:num w:numId="3" w16cid:durableId="2138642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9102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96"/>
    <w:rsid w:val="000830EF"/>
    <w:rsid w:val="000F2C49"/>
    <w:rsid w:val="0018696F"/>
    <w:rsid w:val="00211EDC"/>
    <w:rsid w:val="002257E2"/>
    <w:rsid w:val="003B5723"/>
    <w:rsid w:val="004C227C"/>
    <w:rsid w:val="0064279F"/>
    <w:rsid w:val="006B5BE6"/>
    <w:rsid w:val="006F624A"/>
    <w:rsid w:val="00747AB4"/>
    <w:rsid w:val="007D1C96"/>
    <w:rsid w:val="008969F9"/>
    <w:rsid w:val="008A50E6"/>
    <w:rsid w:val="008D218E"/>
    <w:rsid w:val="0090506E"/>
    <w:rsid w:val="009B0A20"/>
    <w:rsid w:val="009C66D5"/>
    <w:rsid w:val="00AC0A21"/>
    <w:rsid w:val="00B11AA9"/>
    <w:rsid w:val="00B43B0C"/>
    <w:rsid w:val="00B47074"/>
    <w:rsid w:val="00C23FD8"/>
    <w:rsid w:val="00CC3976"/>
    <w:rsid w:val="00D1756B"/>
    <w:rsid w:val="00DB7AC0"/>
    <w:rsid w:val="00F43F4D"/>
    <w:rsid w:val="00F570AF"/>
    <w:rsid w:val="00FF5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7DF8"/>
  <w15:chartTrackingRefBased/>
  <w15:docId w15:val="{AC63E961-2E24-4F1C-A7C6-566C2074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C9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qFormat/>
    <w:rsid w:val="007D1C96"/>
    <w:pPr>
      <w:spacing w:after="0" w:line="240" w:lineRule="auto"/>
    </w:pPr>
    <w:rPr>
      <w:rFonts w:ascii="Helvetica Neue" w:eastAsia="Arial Unicode MS" w:hAnsi="Helvetica Neue" w:cs="Arial Unicode MS"/>
      <w:color w:val="000000"/>
      <w:u w:color="000000"/>
      <w:lang w:eastAsia="pl-PL"/>
    </w:rPr>
  </w:style>
  <w:style w:type="paragraph" w:styleId="Akapitzlist">
    <w:name w:val="List Paragraph"/>
    <w:basedOn w:val="Normalny"/>
    <w:uiPriority w:val="34"/>
    <w:qFormat/>
    <w:rsid w:val="007D1C96"/>
    <w:pPr>
      <w:ind w:left="720"/>
      <w:contextualSpacing/>
    </w:pPr>
  </w:style>
  <w:style w:type="paragraph" w:styleId="Poprawka">
    <w:name w:val="Revision"/>
    <w:hidden/>
    <w:uiPriority w:val="99"/>
    <w:semiHidden/>
    <w:rsid w:val="00FF5DF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17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8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413</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Anna Rzeszutek-Sosińska</cp:lastModifiedBy>
  <cp:revision>5</cp:revision>
  <cp:lastPrinted>2021-05-14T12:26:00Z</cp:lastPrinted>
  <dcterms:created xsi:type="dcterms:W3CDTF">2024-06-25T09:26:00Z</dcterms:created>
  <dcterms:modified xsi:type="dcterms:W3CDTF">2024-07-02T09:00:00Z</dcterms:modified>
</cp:coreProperties>
</file>